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POHUBI</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Paulovics </w:t>
            </w:r>
          </w:p>
          <w:p w:rsidR="00DB4822" w:rsidRDefault="00DB4822" w:rsidP="00E11062">
            <w:pPr>
              <w:pStyle w:val="Konzulensek"/>
            </w:pPr>
            <w:r w:rsidRPr="00DB4822">
              <w:t>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Vested Rights in the practice of the Constitutional Court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dissertation is the presentation of one of the elements of the legal certainty, which is the vested interests and the regulation of one of the possible modes of drafting. The significance of the topic is that the defence of the vested rights doesn't have a part in the basic law specifically, nevertheless it is in connection with significant basic rights, like the right of profession or the right of social security. During the elaboration of the topic the lack of the related literature caused difficulties, so I especially lean on journals, foreign bibliography and the regulation of the constitutional court. I supplemented it with my own thoughts and regulation of recommendation, documented with foreign examples.</w:t>
      </w:r>
    </w:p>
    <w:p>
      <w:pPr>
        <w:widowControl w:val="on"/>
        <w:pBdr/>
        <w:spacing w:before="240" w:after="240" w:line="240" w:lineRule="auto"/>
        <w:ind w:left="0" w:right="0"/>
        <w:jc w:val="left"/>
      </w:pPr>
      <w:r>
        <w:rPr>
          <w:color w:val="000000"/>
          <w:sz w:val="24"/>
          <w:szCs w:val="24"/>
        </w:rPr>
        <w:t xml:space="preserve">Firstly, I found it important to emphasize the significance of the topic in an international overview. After all analysing the rule of law in connection with vested rights. I aim at making it more expressive with a figure. After it I introduce the short story of the Hungarian vested rights.</w:t>
      </w:r>
    </w:p>
    <w:p>
      <w:pPr>
        <w:widowControl w:val="on"/>
        <w:pBdr/>
        <w:spacing w:before="240" w:after="240" w:line="240" w:lineRule="auto"/>
        <w:ind w:left="0" w:right="0"/>
        <w:jc w:val="left"/>
      </w:pPr>
      <w:r>
        <w:rPr>
          <w:color w:val="000000"/>
          <w:sz w:val="24"/>
          <w:szCs w:val="24"/>
        </w:rPr>
        <w:t xml:space="preserve">Afterwards, I divided the resolution of constitutional court into 3 main groups, after it into other 3-3 sub branches and with it I tried to explain the characteristics of vested rights. (social security: family support, system of pension, social security contribution; the right of profession: sphere labour relations, questions under the effect of the Labour Code, contributions, earnings, taxes, exceptions.)</w:t>
      </w:r>
    </w:p>
    <w:p>
      <w:pPr>
        <w:widowControl w:val="on"/>
        <w:pBdr/>
        <w:spacing w:before="240" w:after="240" w:line="240" w:lineRule="auto"/>
        <w:ind w:left="0" w:right="0"/>
        <w:jc w:val="left"/>
      </w:pPr>
      <w:r>
        <w:rPr>
          <w:color w:val="000000"/>
          <w:sz w:val="24"/>
          <w:szCs w:val="24"/>
        </w:rPr>
        <w:t xml:space="preserve">I took these into consideration and I tried to explain and define the concept of vested rights, because such a concept isn't mentioned by the literature and the Constitutional Court practice. I found it important to introduce the relations of vested rights and the right of property, as well as with the appeal of the prosecutor and contrasting the reversion in connection with vested rights with the reversion of civil law.</w:t>
      </w:r>
    </w:p>
    <w:p>
      <w:pPr>
        <w:widowControl w:val="on"/>
        <w:pBdr/>
        <w:spacing w:before="240" w:after="240" w:line="240" w:lineRule="auto"/>
        <w:ind w:left="0" w:right="0"/>
        <w:jc w:val="left"/>
      </w:pPr>
      <w:r>
        <w:rPr>
          <w:color w:val="000000"/>
          <w:sz w:val="24"/>
          <w:szCs w:val="24"/>
        </w:rPr>
        <w:t xml:space="preserve">In the penultimate chapter of my dissertation I introduce the terminology of the regulation of vested rights, which is made by me. ( constitutional and civil law barriers)</w:t>
      </w:r>
    </w:p>
    <w:p>
      <w:pPr>
        <w:widowControl w:val="on"/>
        <w:pBdr/>
        <w:spacing w:before="240" w:after="240" w:line="240" w:lineRule="auto"/>
        <w:ind w:left="0" w:right="0"/>
        <w:jc w:val="left"/>
      </w:pPr>
      <w:r>
        <w:rPr>
          <w:color w:val="000000"/>
          <w:sz w:val="24"/>
          <w:szCs w:val="24"/>
        </w:rPr>
        <w:t xml:space="preserve">Finally, because of the suggestion of „de lege feranda” I worked out a regulative conception for the legislator.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89163">
    <w:multiLevelType w:val="hybridMultilevel"/>
    <w:lvl w:ilvl="0" w:tplc="93320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89163">
    <w:abstractNumId w:val="888891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328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