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ANDRÁS</w:t>
            </w:r>
          </w:p>
          <w:p w:rsidR="00C275A3" w:rsidRDefault="00A96AEC" w:rsidP="00C275A3">
            <w:pPr>
              <w:pStyle w:val="Hallgatokepzes"/>
            </w:pPr>
            <w:r>
              <w:t>jogász szak</w:t>
            </w:r>
            <w:r>
              <w:br/>
            </w:r>
            <w:r w:rsidR="00E77B23">
              <w:t>Osztatlan, 9.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Jánosi Andrea</w:t>
            </w:r>
          </w:p>
          <w:p w:rsidR="00DB4822" w:rsidRDefault="00DB4822" w:rsidP="00E11062">
            <w:pPr>
              <w:pStyle w:val="Konzulensek"/>
            </w:pPr>
            <w:r w:rsidRPr="00DB4822">
              <w:t>tanársegéd,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Europol - A határokon átnyúló bűnözés elleni küzdelem alternatívái az Európai Unióban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REZÜMÉ</w:t>
      </w:r>
    </w:p>
    <w:p>
      <w:pPr>
        <w:pBdr/>
        <w:spacing w:before="240" w:after="240" w:line="240" w:lineRule="auto"/>
        <w:ind w:left="0" w:right="0"/>
        <w:jc w:val="left"/>
      </w:pPr>
      <w:r>
        <w:rPr>
          <w:color w:val="000000"/>
          <w:sz w:val="24"/>
          <w:szCs w:val="24"/>
        </w:rPr>
        <w:t xml:space="preserve">EUROPOL – A határokon átnyúló bűnözés elleni küzdelem alternatívái az Európai Unióban</w:t>
      </w:r>
      <w:r>
        <w:rPr>
          <w:color w:val="000000"/>
          <w:sz w:val="24"/>
          <w:szCs w:val="24"/>
        </w:rPr>
        <w:br/>
        <w:t xml:space="preserve">Europol – Alternatives of Fight Against Transnational Organised Crime in the European Union</w:t>
      </w:r>
    </w:p>
    <w:p>
      <w:pPr>
        <w:pBdr/>
        <w:spacing w:before="240" w:after="240" w:line="240" w:lineRule="auto"/>
        <w:ind w:left="0" w:right="0"/>
        <w:jc w:val="left"/>
      </w:pPr>
      <w:r>
        <w:rPr>
          <w:color w:val="000000"/>
          <w:sz w:val="24"/>
          <w:szCs w:val="24"/>
        </w:rPr>
        <w:t xml:space="preserve">Az Európai Unió létrejöttével a gazdasági és társadalmi élet egy olyan mértékű határokon átívelő, dinamikus mozgása vált lehetővé Európában, mely számos lehetőséget biztosított és biztosít napjainkban is az élet bármely területén. A tagállamok polgárai az Unió belső határainak felszámolása következtében korlátok nélkül mozoghatnak, így egyik tagállam hallgatói különösebb adminisztrációs problémák nélkül másik államban tanulhatnak, vagy munkavállalói munkát vállalhatnak, mindezt azért, mert az Európai Unió úgy alkotta meg intézményrendszerét, hogy a tagállamok intézményei szorosan együttműködve biztosítsák mindazon előnyöket, melyek egyben létrejöttének céljai is.</w:t>
      </w:r>
      <w:r>
        <w:rPr>
          <w:color w:val="000000"/>
          <w:sz w:val="24"/>
          <w:szCs w:val="24"/>
        </w:rPr>
        <w:br/>
        <w:t xml:space="preserve">Ezekhez a „határok nélküli” lehetőségekhez azonban igencsak könnyen idomult a határokon átnyúló bűnözés is, kihasználva a határok és határellenőrzések felszámolásából eredő biztonsági deficitet.</w:t>
      </w:r>
      <w:r>
        <w:rPr>
          <w:color w:val="000000"/>
          <w:sz w:val="24"/>
          <w:szCs w:val="24"/>
        </w:rPr>
        <w:br/>
        <w:t xml:space="preserve">Dolgozatomban az Europollal, mint az európai bűnözés új jelenségeire, trendjeire adott korszerű válasszal, az európai rendőrségi együttműködés kulcsszervével foglalkozom. Kitekintést teszek a Szervezet felállításának előzményeire, indokaira, az Európai Unió intézményrendszerén belül betöltött státuszára, szervezeti struktúrájára, valamint egyes konkrét ügyeken keresztül szeretném felhívni a figyelmet működésének nélkülözhetetlen fontosságára.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12183">
    <w:multiLevelType w:val="hybridMultilevel"/>
    <w:lvl w:ilvl="0" w:tplc="99546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12183">
    <w:abstractNumId w:val="75012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456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