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MIKLÓS</w:t>
            </w:r>
          </w:p>
          <w:p w:rsidR="00C275A3" w:rsidRDefault="00A96AEC" w:rsidP="00C275A3">
            <w:pPr>
              <w:pStyle w:val="Hallgatokepzes"/>
            </w:pPr>
            <w:r>
              <w:t>legal studies</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Jánosi</w:t>
            </w:r>
          </w:p>
          <w:p w:rsidR="00DB4822" w:rsidRDefault="00DB4822" w:rsidP="00E11062">
            <w:pPr>
              <w:pStyle w:val="Konzulensek"/>
            </w:pPr>
            <w:r w:rsidRPr="00DB4822">
              <w:t>professor's assistant,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Europol - Alternatives of Fight Against Transnational Organised Crime in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Europol – Alternatives of Fight Against Transnational Organised Crime in the European Union</w:t>
      </w:r>
    </w:p>
    <w:p>
      <w:pPr>
        <w:pBdr/>
        <w:spacing w:before="240" w:after="240" w:line="240" w:lineRule="auto"/>
        <w:ind w:left="0" w:right="0"/>
        <w:jc w:val="left"/>
      </w:pPr>
      <w:r>
        <w:rPr>
          <w:color w:val="000000"/>
          <w:sz w:val="24"/>
          <w:szCs w:val="24"/>
        </w:rPr>
        <w:t xml:space="preserve">By the foundation of the European Union a dinamic transnational movement of economic and social life was developed which has been ensuring opportunities on every field of our lives. The citizens of the member states - due to the elimination of the internal bordes of the Union - are allowed to move without any limits, thus the students of one member state have the chance to learn in another member state without having the duty to make any extraordinary administrative problems, or the employees are also allowed to undertake work in abroad, etc. The European Union created its institutions in order to promote greater co-operation between the institutions of the member states and to achieve the main objectives enshrined in the founding treaties of the Union.</w:t>
      </w:r>
      <w:r>
        <w:rPr>
          <w:color w:val="000000"/>
          <w:sz w:val="24"/>
          <w:szCs w:val="24"/>
        </w:rPr>
        <w:br/>
        <w:t xml:space="preserve">This system ensures “limitless possibilities” for cross-border organised crime. These organisations seize the beneficial opportunities of security deficit from the elimination of the borders and controlls in the Schengen-area.</w:t>
      </w:r>
      <w:r>
        <w:rPr>
          <w:color w:val="000000"/>
          <w:sz w:val="24"/>
          <w:szCs w:val="24"/>
        </w:rPr>
        <w:br/>
        <w:t xml:space="preserve">In my paper I deal with the Europol with special regard to the key institution of the European police cooperation as an up-to-date answer to the new aspects and trends of the European organised crime. My paper includes the background and causes of the establishment of the Europol, the present status of it in the institutional system of the European Union, to its structure. I would like to emphasis the importance and relevance of this organisation and its functions due presenting and examining concrete cases in relation with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05142">
    <w:multiLevelType w:val="hybridMultilevel"/>
    <w:lvl w:ilvl="0" w:tplc="31998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05142">
    <w:abstractNumId w:val="78905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0130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