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KISS LILLA NÓRA</w:t>
            </w:r>
          </w:p>
          <w:p w:rsidR="00C275A3" w:rsidRDefault="00A96AEC" w:rsidP="00C275A3">
            <w:pPr>
              <w:pStyle w:val="Hallgatokepzes"/>
            </w:pPr>
            <w:r>
              <w:t>Jogász</w:t>
            </w:r>
            <w:r>
              <w:br/>
            </w:r>
            <w:r w:rsidR="00E77B23">
              <w:t>Osztatlan, 5. félév</w:t>
            </w:r>
          </w:p>
          <w:p w:rsidR="00C265CE" w:rsidRPr="009E5FF1" w:rsidRDefault="00E77B23" w:rsidP="00C275A3">
            <w:pPr>
              <w:pStyle w:val="Hallgatokepzes"/>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Rácz Rita</w:t>
            </w:r>
          </w:p>
          <w:p w:rsidR="00DB4822" w:rsidRDefault="00DB4822" w:rsidP="00E11062">
            <w:pPr>
              <w:pStyle w:val="Konzulensek"/>
            </w:pPr>
            <w:r w:rsidRPr="00DB4822">
              <w:t>tanársegéd,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Európai Unió csatlakozása az Emberi Jogok Európai Egyezményéhez, különös tekintettel az Európai Unió Bírósága és az Emberi Jogok Európai Bírósága hatásköri kérdéseire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REZÜMÉ</w:t>
      </w:r>
    </w:p>
    <w:p>
      <w:pPr>
        <w:widowControl w:val="on"/>
        <w:pBdr/>
        <w:spacing w:before="240" w:after="240" w:line="240" w:lineRule="auto"/>
        <w:ind w:left="0" w:right="0"/>
        <w:jc w:val="left"/>
      </w:pPr>
      <w:r>
        <w:rPr>
          <w:color w:val="000000"/>
          <w:sz w:val="24"/>
          <w:szCs w:val="24"/>
        </w:rPr>
        <w:t xml:space="preserve">Az Európai Unió csatlakozása az Emberi Jogok Európai Egyezményéhez, különös tekintettel az Európai Unió Bírósága és az Emberi Jogok Európai Bírósága hatásköri kérdéseire</w:t>
      </w:r>
    </w:p>
    <w:p>
      <w:pPr>
        <w:widowControl w:val="on"/>
        <w:pBdr/>
        <w:spacing w:before="240" w:after="240" w:line="240" w:lineRule="auto"/>
        <w:ind w:left="0" w:right="0"/>
        <w:jc w:val="left"/>
      </w:pPr>
      <w:r>
        <w:rPr>
          <w:color w:val="000000"/>
          <w:sz w:val="24"/>
          <w:szCs w:val="24"/>
        </w:rPr>
        <w:t xml:space="preserve">The Accession of the European Union to the European Convention on Human Rights having special regard to the jurisdictional issues between the Court of Justice of the European Union and the European Court of Human Rights</w:t>
      </w:r>
    </w:p>
    <w:p>
      <w:pPr>
        <w:widowControl w:val="on"/>
        <w:pBdr/>
        <w:spacing w:before="240" w:after="240" w:line="240" w:lineRule="auto"/>
        <w:ind w:left="0" w:right="0"/>
        <w:jc w:val="left"/>
      </w:pPr>
      <w:r>
        <w:rPr>
          <w:color w:val="000000"/>
          <w:sz w:val="24"/>
          <w:szCs w:val="24"/>
        </w:rPr>
        <w:t xml:space="preserve">A dolgozatom témája az Európai Unió csatlakozása az Emberi Jogok Európai Egyezményéhez, amelynek középpontjában a csatlakozással kapcsolatban felmerült problémák és kérdések elemzése áll.</w:t>
      </w:r>
    </w:p>
    <w:p>
      <w:pPr>
        <w:widowControl w:val="on"/>
        <w:pBdr/>
        <w:spacing w:before="240" w:after="240" w:line="240" w:lineRule="auto"/>
        <w:ind w:left="0" w:right="0"/>
        <w:jc w:val="left"/>
      </w:pPr>
      <w:r>
        <w:rPr>
          <w:color w:val="000000"/>
          <w:sz w:val="24"/>
          <w:szCs w:val="24"/>
        </w:rPr>
        <w:t xml:space="preserve">A csatlakozás által felvetett problémák többsége az Európai Unió Bírósága, valamint a strasbourgi Emberi Jogok Európai Bírósága hatáskörének viszonyából adódnak. Dolgozatom központi kérdése a hatáskörök megosztása a bíróságok között. Ennek pontosabb megvilágítása érdekében vizsgáltam az EJEE-hez való csatlakozás jogalapját, a csatlakozási tárgyalások menetét és jelenlegi állását. A kutatás megalapozásaként fontosnak tartottam a történeti előzmények áttekintését, különös tekintettel az Európai Bíróság által az Európai Közösségeknek az EJEE-hez való csatlakozása tárgyában adott véleményét és az ezen előzményekből levonható tanulságok értékelését is munkám során.</w:t>
      </w:r>
    </w:p>
    <w:p>
      <w:pPr>
        <w:widowControl w:val="on"/>
        <w:pBdr/>
        <w:spacing w:before="240" w:after="240" w:line="240" w:lineRule="auto"/>
        <w:ind w:left="0" w:right="0"/>
        <w:jc w:val="left"/>
      </w:pPr>
      <w:r>
        <w:rPr>
          <w:color w:val="000000"/>
          <w:sz w:val="24"/>
          <w:szCs w:val="24"/>
        </w:rPr>
        <w:t xml:space="preserve">A csatlakozással foglalkozó számos magyar és idegen nyelvű szakirodalom segítségével dolgozatomban az egyes – sokszor ellentétes - véleményeket és érveket is ütköztettem és ezek alapján kialakult álláspontomat is megfogalmaztam. A kutatási téma feldolgozása során felhasználtam az uniós intézmények és az Európa Tanács által kiadott hivatalos dokumentumokat, valamint kifejezetten az Európai Unió Bírósága és a strasbourgi Emberi Jogok Európai Bírósága által a csatlakozás tárgyában kidolgozott dokumentumokat is. Dolgozatom legfontosabb vonulata az EJEE-hez való csatlakozás jogi és gyakorlati következményeinek vizsgálata: a csatlakozással megszűnő és keletkező problémák összevetése.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998371">
    <w:multiLevelType w:val="hybridMultilevel"/>
    <w:lvl w:ilvl="0" w:tplc="906296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998371">
    <w:abstractNumId w:val="789983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9719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