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ZELENC SZANDRA</w:t>
            </w:r>
          </w:p>
          <w:p w:rsidR="00C275A3" w:rsidRDefault="00A96AEC" w:rsidP="00C275A3">
            <w:pPr>
              <w:pStyle w:val="Hallgatokepzes"/>
            </w:pPr>
            <w:r>
              <w:t>Jogász</w:t>
            </w:r>
            <w:r>
              <w:br/>
            </w:r>
            <w:r w:rsidR="00E77B23">
              <w:t>Osztatlan, 5.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 Tóth Balázs</w:t>
            </w:r>
          </w:p>
          <w:p w:rsidR="00DB4822" w:rsidRDefault="00DB4822" w:rsidP="00E11062">
            <w:pPr>
              <w:pStyle w:val="Konzulensek"/>
            </w:pPr>
            <w:r w:rsidRPr="00DB4822">
              <w:t>adjunktus,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államhatalmi ágak megosztásának kialakulésa, különös tekintettel az igazságszolgáltatásara: Az emberi jogok érvényesülésének problémái valamint a bírói érvelésben fellépő egyéb szakmai problémák</w:t>
      </w:r>
    </w:p>
    <w:p w:rsidR="00D71DF5" w:rsidRDefault="00D71DF5" w:rsidP="00AD2602">
      <w:pPr>
        <w:jc w:val="both"/>
      </w:pPr>
    </w:p>
    <w:p>
      <w:pPr>
        <w:pBdr/>
        <w:spacing w:before="240" w:after="240" w:line="240" w:lineRule="auto"/>
        <w:ind w:left="0" w:right="0"/>
        <w:jc w:val="left"/>
      </w:pPr>
      <w:r>
        <w:rPr>
          <w:color w:val="000000"/>
          <w:sz w:val="24"/>
          <w:szCs w:val="24"/>
        </w:rPr>
        <w:t xml:space="preserve">Dolgozatom központi témája a bírói ítélkezés. Fókuszba helyeztem az egyének jogait az igazságszolgáltatás során, valamint az ítélkezéssel kapcsolatos problémákat, például hogy a bíróság mennyire veszi figyelembe az alapjogokat a döntése során, milyen az alapjogokhoz való viszonya, és milyen egyéb ítélkezéssel kapcsolatos szakmai problémák merülhetnek fel a hazai bírói gyakorlatban. Többnyire ezekre igyekszem válaszokat adni, konkrét eseteken keresztül megvilágítva az egyes problémákat.</w:t>
      </w:r>
    </w:p>
    <w:p>
      <w:pPr>
        <w:pBdr/>
        <w:spacing w:before="240" w:after="240" w:line="240" w:lineRule="auto"/>
        <w:ind w:left="0" w:right="0"/>
        <w:jc w:val="left"/>
      </w:pPr>
      <w:r>
        <w:rPr>
          <w:color w:val="000000"/>
          <w:sz w:val="24"/>
          <w:szCs w:val="24"/>
        </w:rPr>
        <w:t xml:space="preserve">A dolgozat négy fejezetre osztható. Az első egy rövid történeti áttekintés, ami az ókorhoz nyúlik vissza, és az államhatalmi ágak megosztásának kialakulásáról szól. Ennek azért láttam szükségességét, hogy mielőtt az igazságszolgáltatásra térnék, tisztában legyünk azzal, hogy mi szükség volt a hatalmi ágak elválasztására, és az önálló bírói hatalomra.</w:t>
      </w:r>
    </w:p>
    <w:p>
      <w:pPr>
        <w:pBdr/>
        <w:spacing w:before="240" w:after="240" w:line="240" w:lineRule="auto"/>
        <w:ind w:left="0" w:right="0"/>
        <w:jc w:val="left"/>
      </w:pPr>
      <w:r>
        <w:rPr>
          <w:color w:val="000000"/>
          <w:sz w:val="24"/>
          <w:szCs w:val="24"/>
        </w:rPr>
        <w:t xml:space="preserve">A második fejezet a magyar igazságszolgáltatást vizsgálja, és bemutatja, hogy a bíráskodás milyen változásokon ment keresztül az 1900-as évektől egészen napjainkig, érvényesült-e a bíráskodás függetlensége, a rendszerváltás előtt milyen problémákkal kellett szembenézni, és mennyiben változott azóta a helyzet.</w:t>
      </w:r>
    </w:p>
    <w:p>
      <w:pPr>
        <w:pBdr/>
        <w:spacing w:before="240" w:after="240" w:line="240" w:lineRule="auto"/>
        <w:ind w:left="0" w:right="0"/>
        <w:jc w:val="left"/>
      </w:pPr>
      <w:r>
        <w:rPr>
          <w:color w:val="000000"/>
          <w:sz w:val="24"/>
          <w:szCs w:val="24"/>
        </w:rPr>
        <w:t xml:space="preserve">A harmadik fejezet központjában az igazságszolgáltatással kapcsolatos alapelvek, illetve az azokból levezethető, egyént megillető jogok, valamint a bíróságok működésére vonatkozó alapvető követelmények állnak. Az elemzést nem szűkítem sem a büntetőeljárás, sem pedig a polgári eljárás alapelveire, összességében taglalom ezeket az elveket, néhol hivatkozva, vagy kiemelve jogesetet, melyben valamelyik elv sérült, és a bíróság ennek következményeként hogyan járt el. Ezen a fejezeten belül kerül sor a bírói ítélkezés és alapjogok viszonyának megvizsgálására is.</w:t>
      </w:r>
    </w:p>
    <w:p>
      <w:pPr>
        <w:pBdr/>
        <w:spacing w:before="240" w:after="240" w:line="240" w:lineRule="auto"/>
        <w:ind w:left="0" w:right="0"/>
        <w:jc w:val="left"/>
      </w:pPr>
      <w:r>
        <w:rPr>
          <w:color w:val="000000"/>
          <w:sz w:val="24"/>
          <w:szCs w:val="24"/>
        </w:rPr>
        <w:t xml:space="preserve">Az utolsó fejezetben pedig a mai gyakorlattal kapcsolatos problémákat veszem górcső alá. Milyen bizonyítékokat vesznek a bíróságok figyelembe egy-egy döntés meghozatalakor, vagy mitől tekintenek el, mi vonatkozik rájuk, mi köti őket, miért baj, ha ellentmondásos a Legfelsőbb Bíróság két döntése, vagy helytálló-e, ha az országon belül területenként más döntések születnek? Végezetül olyan reformjavaslatokat vázolok fel, melyek segítségével javítható az igazságszolgáltatás tekintélye.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22709">
    <w:multiLevelType w:val="hybridMultilevel"/>
    <w:lvl w:ilvl="0" w:tplc="83043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22709">
    <w:abstractNumId w:val="174227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772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