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SÁPI EDIT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Barta Judit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jellegbitorlás jellemzői és elhatárolása a védjegybitorlástól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versenyjog célja a tökéletes piac megteremtése, mely törekvés amennyire idealista, annyira bonyolult és összetett feladat. A tökéletes verseny megteremtéséhez alapvető követelmény, hogy a versenytársak egymást és a fogyasztókat tiszteljék, ne a másik vállalat által elért sikereket használják fel saját céljaik eléréséhez. Amennyiben ez a kölcsönös tisztelet nem valósul meg, szükség van jogi eszközök igénybe vételére.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versenyjog csakúgy, mint a polgári jog védi a szellemi tulajdont. A szellemi tulajdon jogoknak hagyományosan két fő kategóriáját különböztethetjük meg, a szerzői és az iparjogvédelmi jogokat. Az iparjogvédelmi jogok a műszaki szellemi alkotások és az áruk és szolgáltatások megkülönböztetésére szolgáló megjelölések számára adnak oltalmat. A szellemi tulajdon jogok megsértése esetén az igényérvényesítés lehetséges útjai a polgári jog és/vagy versenyjogi, a közigazgatási és a büntetőjogi jogérvényesítés. Az iparjogvédelem előfeltétele a hatósági vizsgálat, majd az ez alapján elismert jog nyilvántartásba vétele, ún. lajstromozása. A tisztességtelen piaci magatartás és versenykorlátozás tilalmáról szóló 1996. évi LVII. törvény, ezen belül is elsősorban a jellegbitorlás tényállása az, amely versenyjogi szempontból jogvédelmet nyújt ebben a kérdéskörben. A versenyjogi védelem azonban nem kívánja meg a nyilvántartásba vételt, hanem a lajstromozott szellemi tulajdonjogokon kívül azokra is kiterjed az oltalma, melyek esetén a nyilvántartásba vétel hiánya miatt nem érvényesül az iparjogvédelem.</w:t>
      </w:r>
      <w:r>
        <w:rPr>
          <w:color w:val="000000"/>
          <w:sz w:val="24"/>
          <w:szCs w:val="24"/>
        </w:rPr>
        <w:br/>
        <w:t xml:space="preserve">A dolgozat fókuszában a versenyjogi védelem áll. Munkám során végigtekintek a jellegbitorlás szabályozástörténetén egészen annak hatályos változatáig. A jogi norma elemzését mind elméleti, mind gyakorlati oldalról elvégzem. Dolgozatom második felében összehasonlítom a jellegbitorlást és a védjegybitorlást, azok egymáshoz való viszonyát, illetve kitérek a domain név kérdésére is, ami üzleti értékkel bíró és feltörekvő jogintézmény, emiatt pedig jelentősége nem elhanyagolható.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442264">
    <w:multiLevelType w:val="hybridMultilevel"/>
    <w:lvl w:ilvl="0" w:tplc="308560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442264">
    <w:abstractNumId w:val="754422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88847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