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FERKOVICS</w:t>
            </w:r>
          </w:p>
          <w:p w:rsidR="00C275A3" w:rsidRDefault="00A96AEC" w:rsidP="00C275A3">
            <w:pPr>
              <w:pStyle w:val="Hallgatokepzes"/>
            </w:pPr>
            <w:r>
              <w:t>Employment Relations and Social Insurance Administration</w:t>
            </w:r>
            <w:r>
              <w:br/>
            </w:r>
            <w:r w:rsidR="00E77B23">
              <w:t>BA,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Nóra Jakab</w:t>
            </w:r>
          </w:p>
          <w:p w:rsidR="00DB4822" w:rsidRDefault="00DB4822" w:rsidP="00E11062">
            <w:pPr>
              <w:pStyle w:val="Konzulensek"/>
            </w:pPr>
            <w:r w:rsidRPr="00DB4822">
              <w:t>assistant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Rehabilitation of the vocational rehabilitation</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Besides in the modern states of the 21st century, the social standard in Hungary is that the members of the society insure their living by working. But most of the people are loaded with precariousness of existence which started with the change-over, when the labour market regressed and almost one million people became unemployed. This situation has not changed yet. Moreover the depression of 2005 made it worse, and its influence still lasts. So the chance of working is even not devided equally among mentally and phisically able-bodied people. There are winners and losers, there are people who do not even enter the labour market, or ruled out from there too soon. In these circumstances, what is the fate of the people with disabilities? Present provisions prefer the active solutions instead of passive methods. Instead of conformity, integration came to the front, this is helped by the vocational rehabilitation. But will these methods ensure the chance for them to enter and stay in the labour market?</w:t>
      </w:r>
    </w:p>
    <w:p>
      <w:pPr>
        <w:widowControl w:val="on"/>
        <w:pBdr/>
        <w:spacing w:before="240" w:after="240" w:line="240" w:lineRule="auto"/>
        <w:ind w:left="0" w:right="0"/>
        <w:jc w:val="left"/>
      </w:pPr>
      <w:r>
        <w:rPr>
          <w:color w:val="000000"/>
          <w:sz w:val="24"/>
          <w:szCs w:val="24"/>
        </w:rPr>
        <w:t xml:space="preserve">The purpose of my disquisition is to present the vocational rehabilitation system of our country. What are the concrete provisions? How is the system influenced by the expectations of the European Union? What institutions the given provisions are realized through, and what does the concrete practice show? Probably these ensure opportunity for the people with disability to get integrated in the labour market and get close to live a full life, which makes them being an useful member of the society. Probably the vocational rehabilitation practice in our country is not able more to reduce the liabilities of the public finance. This is a very important reason behind the changes, because the number of concerned people is growing successively and with the depression and the passive sustenance preferred so far, the expenditures on people with disabilities grown significantly. So the change needed anyway, but without its efficient and successful realization it does more harm than benefit, regarding the person by all means. Vocational rehabilitation is just a stage of rehabilitation, but the effective working of it is very important, because without it there is no chance for total rehabilitation.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16410">
    <w:multiLevelType w:val="hybridMultilevel"/>
    <w:lvl w:ilvl="0" w:tplc="70020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16410">
    <w:abstractNumId w:val="49316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048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