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RÓNAI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Energiaadók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Unióban a környezetvédelmi szakpolitika kiemelt szerepet élvez. Az energiaadók az energiapolitika gazdasági eszközei. Alkalmazásuk hátterében az a számos közgazdász által követett indok áll, amely szerint, hogyan tudjuk a negatív externáliákat internalizálni, vagyis: a piaci kereteken kívül keltett makroökonómiai hatásokat (zömében környezeti károkat) vállalati költséggé kívánják úgy alakítani, hogy eleget tegyenek a környezetvédelmi politika egyik legfontosabb alapelvének, a szennyező fizet elvnek. A környezetvédelmi politika keretein belül drasztikusan megnőtt a gazdasági eszközök használata az utóbbi egy évtizedben. A skandináv országok voltak az elsők, ahol először megjelent a politika, de pár év múltán a többi európai állam is követte példájukat.</w:t>
      </w:r>
      <w:r>
        <w:rPr>
          <w:color w:val="000000"/>
          <w:sz w:val="24"/>
          <w:szCs w:val="24"/>
        </w:rPr>
        <w:br/>
        <w:t xml:space="preserve">A dolgozatomban először ezeket a gazdasági eszközöket mutatom be, röviden részletezem a környezetvédelmi szabályozást. A második fejezetben fontosnak tartottam a jelenleg hatályos energiaadó-rendszer kialakulásának történetét ismertetni. A következő fejezetben az Unió szintjén harmonizált adónem tagállami szinten létező megoldásait mutatom be, hiszen itt is megfigyelhető az integráció egyik jelenleg létező legnagyobb problémája, a kétsebességes fejlődés. Először a svéd energiaadózást vizsgáltam meg, amely az egyik legrégebbi történettel rendelkezik, egészen az 1920-as évekig kell visszanyúlnunk az ismertetése kapcsán. Európában az első helyen szerepelnek a környezetvédelem piaci alapú eszköztárát tekintve, közel 70-féle instrumentumot alkalmaznak a szabályozásban, amely minden tagállam számára követendő példát jelent. A sorban őket a német energiaadózás követi, amely Európában a leglátványosabban valósította meg az ETR reformot, több olyan megoldást is alkalmazva, amelyet korábban a svédek már használtak. A németek közel 20 év alatt az energiaadózás élmezőnyébe kvalifikálták magukat, a bevételeik növekedtek, a fogyasztók energiatudatosabbak lettek. A következő ország, amelyet megvizsgáltam az Egyesült Királyság volt. Az angol rendszer felépítése egyszerűbb, mint az előző két rendszeré, de mégis egyedülálló megoldásokat tartalmaz: az adózás fókuszában az áll, hogy a fogyasztókat ne terheljék adófizetési kötelezettséggel, így az adóterheket az üzleti felhasználású szektorokra hárítják. Ez a szektor önkéntes megállapodások kötésével adóelőnyöket vehet igénybe. Végül hazánk szabályozását vizsgálom meg. Magyarország az EU-hoz való csatlakozáskor dolgozta ki az energiaadó rendszerét, amely az EU-n belül az egyik legegyszerűbb és legfiatalabb is, hiszen közel 10 éves múltra tekint vissza. A gazdasági potenciál hiányára és a fogyasztók preferenciáira tekintettel viszonylag alacsony költségvetési bevételeket eredményez, és nem is valósul meg teljesen a várt ösztönző hatása úgy, mint a fenti három ország esetén. Van még mit tanulnunk, de könnyebb helyzetben vagyunk, mint a 20. század derekán a jelenleg élenjáró országok, hiszen a szabályozásunkat a több tíz éves nyugati tagállamok tapasztalatára alapíthatjuk.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35018">
    <w:multiLevelType w:val="hybridMultilevel"/>
    <w:lvl w:ilvl="0" w:tplc="58950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35018">
    <w:abstractNumId w:val="27935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847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