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RÓNAI</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Nagy</w:t>
            </w:r>
          </w:p>
          <w:p w:rsidR="00DB4822" w:rsidRDefault="00DB4822" w:rsidP="00E11062">
            <w:pPr>
              <w:pStyle w:val="Konzulensek"/>
            </w:pPr>
            <w:r w:rsidRPr="00DB4822">
              <w:t>associate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Energy Taxes in the European Union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environmental policy has got an important role in the EU. The energy taxes are the energy policy's economic instruments. During their application the main question is how we can internalise the negative externalities, i.e. the macroeconomic effects (mostly environmental damages), which is caused outside of the market’s framework, into business’ expenses, whilst we must meet with the polluter pays principle, which is one of the most important principle of the environmental policy. The use of the economic instrument has been drastically raised in the past decade. The Scandinavian countries were the first, where these instruments have appeared.</w:t>
      </w:r>
      <w:r>
        <w:rPr>
          <w:color w:val="000000"/>
          <w:sz w:val="24"/>
          <w:szCs w:val="24"/>
        </w:rPr>
        <w:br/>
        <w:t xml:space="preserve">Chapter I presents these instruments and shortly details the environmental regulation. Chapter II presents the energy taxation regime’s development. After knowing the supranational regulation, Chapter III deals with the national regulation, which is fully harmonised in the Member States with the Energy Directive, but we also can observe the EU’s biggest problem the two-speed development. The description of the Swedish Regime is very important. Its history is one of the oldest ones in Europe, because it has been developed since 1920s. Nowadays more than 70 market-based instruments are used in order to contribute to the protection of the environment. The next is Germany. It is special, because this was the first country, which implemented the ETR the most spectacularly in the EU. Lots of Swedish solutions have been used too. After 20 years the German consumers have become more energy conscious, and the budgetary receipts have been rising. The next State was the UK, which regime is simpler than the before mentioned two, but it contains unique solutions, such as the tax exemptions for consumers, so they shall not pay energy taxes, the business sector is liable to pay taxes. This sector can receive tax benefits with concluding voluntary agreements. Finally I examined Hungary’s energy taxation regime. It is one of youngest and simplest in the EU, because its history is less than 10 years old. The tax results low-budget revenues, because of the lack of the economic potential and the consumers’ preferences. Its incentive effect is not fully attained. There is a lot to be learned, but we are in a better position than the countries in the half of the 20th century, because we can develop our regulation upon the western states experiences.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128420">
    <w:multiLevelType w:val="hybridMultilevel"/>
    <w:lvl w:ilvl="0" w:tplc="480502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128420">
    <w:abstractNumId w:val="331284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04149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