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BERES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Reka Pusztahelyi, dr. jur.</w:t>
            </w:r>
          </w:p>
          <w:p w:rsidR="00DB4822" w:rsidRDefault="00DB4822" w:rsidP="00E11062">
            <w:pPr>
              <w:pStyle w:val="Konzulensek"/>
            </w:pPr>
            <w:r w:rsidRPr="00DB4822">
              <w:t>professor's assistant,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Present of Matrimonial Property Contract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thesis in a broader sense is the matrimonial property agreement itself. Although this legal institution has constituted part of the provisions of the Family Act, those getting married and those already married do not demonstrate a willingness to contract conclusion of an extent intended by the legislator. Thus the contract is not able to fulfil its purpose – namely, to promote the autonomy of partners in marriage – due to its unpopular nature. Despite that it is quite infrequent, the matrimonial property agreement is a part of public awareness, and it is not an exaggeration to claim that it strongly divides public opinion as to ethics.</w:t>
      </w:r>
    </w:p>
    <w:p>
      <w:pPr>
        <w:pBdr/>
        <w:spacing w:before="240" w:after="240" w:line="240" w:lineRule="auto"/>
        <w:ind w:left="0" w:right="0"/>
        <w:jc w:val="left"/>
      </w:pPr>
      <w:r>
        <w:rPr>
          <w:color w:val="000000"/>
          <w:sz w:val="24"/>
          <w:szCs w:val="24"/>
        </w:rPr>
        <w:t xml:space="preserve">However, from the perspective of a lawyer, we may by no means interpret it as a type of agreement conveying distrust in the first place, but as a kind of contract facilitating the transparency of family and obligatory relations, complying with the interests and requirements of the parties in an individualised manner, and reducing the prolongation of divorce actions. In the first part of my thesis I reflect upon the formation of the regulation in effect of the matrimonial property agreement, and the general issues pertaining to the agreement.</w:t>
      </w:r>
    </w:p>
    <w:p>
      <w:pPr>
        <w:pBdr/>
        <w:spacing w:before="240" w:after="240" w:line="240" w:lineRule="auto"/>
        <w:ind w:left="0" w:right="0"/>
        <w:jc w:val="left"/>
      </w:pPr>
      <w:r>
        <w:rPr>
          <w:color w:val="000000"/>
          <w:sz w:val="24"/>
          <w:szCs w:val="24"/>
        </w:rPr>
        <w:t xml:space="preserve">As far as the topic is concerned in a narrower sense: family law jurisdiction considers the relevant scope of cases of the constraints of contractual freedom to be the most typical problem regarding the matrimonial property agreement. Thus, in the part of my thesis to follow I provide a presentation on how family protection, creditor protection and the protection of good morals prevail as compared to the operational freedom of the agreement at the level of legislation and the application of the law.</w:t>
      </w:r>
    </w:p>
    <w:p>
      <w:pPr>
        <w:pBdr/>
        <w:spacing w:before="240" w:after="240" w:line="240" w:lineRule="auto"/>
        <w:ind w:left="0" w:right="0"/>
        <w:jc w:val="left"/>
      </w:pPr>
      <w:r>
        <w:rPr>
          <w:color w:val="000000"/>
          <w:sz w:val="24"/>
          <w:szCs w:val="24"/>
        </w:rPr>
        <w:t xml:space="preserve">Also, the current nature of the topic is further enhanced by the fact that the provisions aimed at the agreement are provided more detailed regulation under the new Civil Code, moreover, as opposed to the laconicism of the Family Act, the legislator outlines alternative law of property systems – in preference of the conclusion of matrimonial property agreements.</w:t>
      </w:r>
    </w:p>
    <w:p>
      <w:pPr>
        <w:pBdr/>
        <w:spacing w:before="240" w:after="240" w:line="240" w:lineRule="auto"/>
        <w:ind w:left="0" w:right="0"/>
        <w:jc w:val="left"/>
      </w:pPr>
      <w:r>
        <w:rPr>
          <w:color w:val="000000"/>
          <w:sz w:val="24"/>
          <w:szCs w:val="24"/>
        </w:rPr>
        <w:t xml:space="preserve">I consider the reason for the existence of the agreement to be unquestionable today, and I intend to underline that by my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20975">
    <w:multiLevelType w:val="hybridMultilevel"/>
    <w:lvl w:ilvl="0" w:tplc="13327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20975">
    <w:abstractNumId w:val="52820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889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