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AGNES IRMES</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Laszlo Leszkoven, Dr. jur.</w:t>
            </w:r>
          </w:p>
          <w:p w:rsidR="00DB4822" w:rsidRDefault="00DB4822" w:rsidP="00E11062">
            <w:pPr>
              <w:pStyle w:val="Konzulensek"/>
            </w:pPr>
            <w:r w:rsidRPr="00DB4822">
              <w:t>associate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Redeem the unredeemable? Awarding a certain amount of non-material restitution, in case of the violation of personality rights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„What good is it for someone to gain the whole world, yet forfeit their soul?”- the question asked in the book of Mark still rings relevant. The system of non-material restitution is used to remedy the encroachment of personality rights, which is controlled only on the basic level by the heighest level of abstraction of the civil code.</w:t>
      </w:r>
    </w:p>
    <w:p>
      <w:pPr>
        <w:pBdr/>
        <w:spacing w:before="240" w:after="240" w:line="240" w:lineRule="auto"/>
        <w:ind w:left="0" w:right="0"/>
        <w:jc w:val="left"/>
      </w:pPr>
      <w:r>
        <w:rPr>
          <w:color w:val="000000"/>
          <w:sz w:val="24"/>
          <w:szCs w:val="24"/>
        </w:rPr>
        <w:t xml:space="preserve">Since the civil code doesn’t contains details regarding the amount of restitution, neccesserary the courthouses must do legislative taks. Since setting the legal basis as well as setting the amount of of non-material restitution are the matter of the judge consideration, based on the judge’s own light, due to this basically the courthouses’ general practise defines the rules of non-material restitution. Courthouses have to face a serious challenge, since the cases that lead to non-material restitution are hardly generalizable, even the cases belonging to the same class have significant differences, these facts can couse serious difference while defining the legal basis and the amount of restitution.</w:t>
      </w:r>
    </w:p>
    <w:p>
      <w:pPr>
        <w:pBdr/>
        <w:spacing w:before="240" w:after="240" w:line="240" w:lineRule="auto"/>
        <w:ind w:left="0" w:right="0"/>
        <w:jc w:val="left"/>
      </w:pPr>
      <w:r>
        <w:rPr>
          <w:color w:val="000000"/>
          <w:sz w:val="24"/>
          <w:szCs w:val="24"/>
        </w:rPr>
        <w:t xml:space="preserve">In my essay I would like to find out how and based on which aspects the courthouses make decisions when awarding non-material restitution in case of substantiated violation of personality rights, as well as the amount of it, and – based on the requirements of legal certainty – whatever the courthouses are united or not in the process of judging such cases.</w:t>
      </w:r>
    </w:p>
    <w:p>
      <w:pPr>
        <w:pBdr/>
        <w:spacing w:before="240" w:after="240" w:line="240" w:lineRule="auto"/>
        <w:ind w:left="0" w:right="0"/>
        <w:jc w:val="left"/>
      </w:pPr>
      <w:r>
        <w:rPr>
          <w:color w:val="000000"/>
          <w:sz w:val="24"/>
          <w:szCs w:val="24"/>
        </w:rPr>
        <w:t xml:space="preserve">Besides the above mentioned reasons, the fact that the new civil code introduces the offense charge, as a brand new legal institution, instead of the non-material restitution sheds an interesting light on the rules of non-material restitution. What are the main differences between the non-material restitution and the offense charge? What makes it reasonable to introduce such changes? In my essay I will be investigating thses questions in depth.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605506">
    <w:multiLevelType w:val="hybridMultilevel"/>
    <w:lvl w:ilvl="0" w:tplc="887252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605506">
    <w:abstractNumId w:val="316055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34610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