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ÉVA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Gula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csalás, különös tekintettel az ingatlanokkal kapcsolatosan elkövetett csalásokra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két részre tagolódik: az első rész témája a csalás dogmatikai elemzése; majd ezt követően, a második nagyobb egységben rátérek az ingatlanokkal kapcsolatos csalásokra.</w:t>
      </w:r>
      <w:r>
        <w:rPr>
          <w:color w:val="000000"/>
          <w:sz w:val="24"/>
          <w:szCs w:val="24"/>
        </w:rPr>
        <w:br/>
        <w:t xml:space="preserve">A csalás a vagyon elleni bűncselekmények körébe tartozik, ez előrevetíti azt, hogy fontos szerepet tölt be az ellene való védekezés. A bűncselekmények közül szinte a legszélesebb társadalmi réteget érintő probléma ez, hiszen áldozattá bárki válhat.</w:t>
      </w:r>
      <w:r>
        <w:rPr>
          <w:color w:val="000000"/>
          <w:sz w:val="24"/>
          <w:szCs w:val="24"/>
        </w:rPr>
        <w:br/>
        <w:t xml:space="preserve">Fontosnak tartom a hatályos tényállás elemzése előtt a csalás szabályozásának rövid fejlődés-történeti bemutatását, amellyel rámutatok, hogy honnan indult a jogtudományunk, és hová fejlődött azáltal, hogy felismerte a változtatások szükségességét.</w:t>
      </w:r>
      <w:r>
        <w:rPr>
          <w:color w:val="000000"/>
          <w:sz w:val="24"/>
          <w:szCs w:val="24"/>
        </w:rPr>
        <w:br/>
        <w:t xml:space="preserve">Ezt követően a csalás hatályos Btk-beli tényállását elemzem.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Nagyobb hangsúlyt fektetek munkámban az ingatlanokkal kapcsolatos csalásra, hiszen számuk a rendszerváltást követően kiugróan megnövekedett, az elkövetők ma is egyre továbbfejlesztik az elkövetési módokat, így téve nehezebbé a bűncselekmény megállapíthatóságát, felderíthetőségét majd megbüntetését.</w:t>
      </w:r>
      <w:r>
        <w:rPr>
          <w:color w:val="000000"/>
          <w:sz w:val="24"/>
          <w:szCs w:val="24"/>
        </w:rPr>
        <w:br/>
        <w:t xml:space="preserve">Nem csak az elkövetői kör speciális az ingatlanokra elkövetett csalásoknál, hanem a sértetti kör is. Érdekes kérdést vet fel, hogy valójában ki is az e fajta csalásnak a sértettje, ha továbbértékesítésre kerül az ingatlan, és hogy helyes-e a büntetőjogi sértett megjelölése?</w:t>
      </w:r>
      <w:r>
        <w:rPr>
          <w:color w:val="000000"/>
          <w:sz w:val="24"/>
          <w:szCs w:val="24"/>
        </w:rPr>
        <w:br/>
        <w:t xml:space="preserve">Nem csak az állami érdek kívánja a bűncselekmény megbüntetését, hanem a magánérdek is, mégpedig azért, mert jelentős anyagi hátrány éri az ingatlan tulajdonosát a csalás miatt. A kár megtérítése iránt pedig az ügyész kezében is vannak eszközök, amelyekkel a közérdek védelmében felléphet. Ezeket az eszközöket is ismertetem.</w:t>
      </w:r>
      <w:r>
        <w:rPr>
          <w:color w:val="000000"/>
          <w:sz w:val="24"/>
          <w:szCs w:val="24"/>
        </w:rPr>
        <w:br/>
        <w:t xml:space="preserve">Dolgozatom célja nem új megoldások keresése, javaslatok tétele, hanem a napjainkban is komoly problémát jelentő ingatlancsalások gyökereinek feltárása, a tömegessé váló jelenség folyamatának bemutatása, valamint azon intézkedések ismertetése, amelyek segítségével sikerült visszaszorítani a rendszerváltás környékén megsokszorozódó ingatlanokra elkövetett csalásokat.</w:t>
      </w:r>
      <w:r>
        <w:rPr>
          <w:color w:val="000000"/>
          <w:sz w:val="24"/>
          <w:szCs w:val="24"/>
        </w:rPr>
        <w:br/>
        <w:t xml:space="preserve">Különösen fontosnak tartom e téma elemzését, mind a bűncselekmény súlya miatt, mind pedig azért, mert – értékére tekintettel – a védett jogi tárgy is kiemelt jelentőséggel bír.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407590">
    <w:multiLevelType w:val="hybridMultilevel"/>
    <w:lvl w:ilvl="0" w:tplc="323880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407590">
    <w:abstractNumId w:val="544075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96524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