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BURJÁN</w:t>
            </w:r>
          </w:p>
          <w:p w:rsidR="00C275A3" w:rsidRDefault="00A96AEC" w:rsidP="00C275A3">
            <w:pPr>
              <w:pStyle w:val="Hallgatokepzes"/>
            </w:pPr>
            <w:r>
              <w:t>Hungarian-German Teacher MA </w:t>
            </w:r>
            <w:r>
              <w:br/>
            </w:r>
            <w:r w:rsidR="00E77B23">
              <w:t>MA, 5.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Dorottya Szávai</w:t>
            </w:r>
          </w:p>
          <w:p w:rsidR="00DB4822" w:rsidRDefault="00DB4822" w:rsidP="00E11062">
            <w:pPr>
              <w:pStyle w:val="Konzulensek"/>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found reality. The effect of Rilke on the poetry of János Pilinszky.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project essay I intended to demonstrate the effect of Rainer Maria Rilke’s poetry on the lyric poetry of Hungarian author Pilinszky János. Furthermore my work highlights the reasons behind the realization of the literary history effect and represents those possible calling factors in the world view and artistic opinion of the poet working in German speaking countries that Pilinszky, after having familiarized himself with the works of predecessor poet Rilke’ poems and other literary works, might have integrated into his own works.During my research I found many similarities in the art concept and lyric poetry of the two poets. This fact not only justifies the interpretation research of the two authors but also shows the psychological motivation of the research. </w:t>
      </w:r>
    </w:p>
    <w:p>
      <w:pPr>
        <w:pBdr/>
        <w:spacing w:before="240" w:after="240" w:line="240" w:lineRule="auto"/>
        <w:ind w:left="0" w:right="0"/>
        <w:jc w:val="left"/>
      </w:pPr>
      <w:r>
        <w:rPr>
          <w:color w:val="000000"/>
          <w:sz w:val="24"/>
          <w:szCs w:val="24"/>
        </w:rPr>
        <w:t xml:space="preserve">In the second part of my project I have tried to verify Rilke’s influence on János Pilinszky’s lyric poetry – which is mainly thrown up by the eventuality of poetic personality in lyric work of art, in the way of expression of thronging loneliness in the existence, as well as in the relation between individual existence and transcendency - with the help of the reinterpretation of the predecessor poet’s pieces of poetry applied in Pilinszky’s lyrical poetry.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20556">
    <w:multiLevelType w:val="hybridMultilevel"/>
    <w:lvl w:ilvl="0" w:tplc="64246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20556">
    <w:abstractNumId w:val="722205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086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