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PINTÉR</w:t>
            </w:r>
          </w:p>
          <w:p w:rsidR="00C275A3" w:rsidRDefault="00A96AEC" w:rsidP="00C275A3">
            <w:pPr>
              <w:pStyle w:val="Hallgatokepzes"/>
            </w:pPr>
            <w:r>
              <w:t>Faculty of Modern Philology and Social Sciences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Modern Philology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Dorottya Szávai</w:t>
            </w:r>
          </w:p>
          <w:p w:rsidR="00DB4822" w:rsidRDefault="00DB4822" w:rsidP="00E11062">
            <w:pPr>
              <w:pStyle w:val="Konzulensek"/>
            </w:pPr>
            <w:r w:rsidRPr="00DB4822">
              <w:t> associate professor,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Pressure of self-denial. Witness, icon, asceticism in Janos Pilinszky-poetry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önmeghaladás kényszere. Tanúság, ikon, aszkézis Pilinszky János költészetében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az aposztrophé alakzatán keresztül egy olyan retorikai-ontológiai hármas pozícionáltságot mutasson meg a Pilinszky-lírában, amely a tanúság, az ikon valamint az aszkézis és extázis fogalomkörein keresztül lefedi az egész életművet. Olyan problematikák köré szervezve így a dolgozat szövegét, mint a tárgyiasság beszédmódját létrehívó én-felszámoló törekvések: kezdve az önmegszólítás alakzatának vizsgálatával a korai versszövegekben, eljutva egészen az aszkézis extázisaként meghatározott öntudatlan beszédartikuláció ént kivető aktusáig.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teremtményi helyzetből beszélő lírai én vállalt tanú-státusza átformálja a teremtő művész fogalmát, s az eredendő és igaz megelőzöttség közvetítő szerepébe utalja magát. A közvetítés központi helyzetét nemcsak a tanúként értett poéta mutatja, hanem az ikonná formált versszövegek is, melyek transzgresszivitása alapvető fontosságúvá lesz ebben a lírában. Így válik Pilinszky költészetének meghatározó és kikerülhetetlen ars poétikájává az engagment immobile, az a költő által önreflexív módon mozdulatlan elkötelezettségként definiált és vállalt versnyelvi magatartás, amely a versek középpontjába a hit abszurditásáig eljuttató paradoxonokat állítja.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igyekszem tehát olyan fogalmakat megtenni az értelmezés irányadóinak, amelyek felől az egész Pilinszky-életmű befogadhatóvá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38690">
    <w:multiLevelType w:val="hybridMultilevel"/>
    <w:lvl w:ilvl="0" w:tplc="79511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38690">
    <w:abstractNumId w:val="69138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70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