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TOKOS BIANKA</w:t>
            </w:r>
          </w:p>
          <w:p w:rsidR="00C275A3" w:rsidRDefault="00A96AEC" w:rsidP="00C275A3">
            <w:pPr>
              <w:pStyle w:val="Hallgatokepzes"/>
            </w:pPr>
            <w:r>
              <w:t>Magyar alapszak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Homérosz nyomában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 egy műfaj, az eposz, illetve a műfaj paródiáin keresztül annak változását, irodalomban betöltött szerepét, mindezt úgy, hogy ebből a hosszú alakulástörténetből három művet ragadok ki, s ezeket értelmezem: az antik eposzt, Homérosz Odüsszeia és Íliász című művén keresztül, az eposzi hagyománnyal való szakítás példáját, Petőfi Sándor A helység kalapácsa című paródiáját, illetve egy kortárs megvalósulást, Varró Dániel Petőfi Sándor című művét.</w:t>
      </w:r>
      <w:r>
        <w:rPr>
          <w:color w:val="000000"/>
          <w:sz w:val="24"/>
          <w:szCs w:val="24"/>
        </w:rPr>
        <w:br/>
        <w:t xml:space="preserve">A dolgozat első részében általánosan vizsgálom az irodalmi hagyományt, az irodalom mozgatórugóit, középpontban az utánzás-eredetiség és az intertextualitás fogalmak tisztázásával, a paródia szükségessége, jelentősége, jellemzői is tárgyalásra kerülnek.A dolgozat középpontjába a három mű interpretációja kerül, összehasonlítva a közös elemeket; az eposzi kellékek és a nyelvi paródia eszközeit, funkcióját, valamint a szövegszervező eljárásokat. Igyekszem visszautalni a fent említett fogalmakra, s vizsgálom ezek megvalósulását az alkotásokban, különös figyelmet fordítva az intertextualitás jelenségére. Kísérletet teszek arra, hogy bebizonyítsam, hogy a művek hermeneutikája csak rendszerben működik (hermeneutikai kör), illetve vizsgálom, hogy a ricoeuri hármas mimézis „modellje”, illetve fogalmai mennyiben alkalmazhatók a három szövegre.</w:t>
      </w:r>
      <w:r>
        <w:rPr>
          <w:color w:val="000000"/>
          <w:sz w:val="24"/>
          <w:szCs w:val="24"/>
        </w:rPr>
        <w:br/>
        <w:t xml:space="preserve">A befejező részben kitérek a homéroszi hagyomány lírában való folytatásának lehetőségeire is, elsősorban Kovács András Ferenc, Konsztantinosz Kavafisz és Jorge Luis Borges költeményeinek értelmezésével.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18143">
    <w:multiLevelType w:val="hybridMultilevel"/>
    <w:lvl w:ilvl="0" w:tplc="34714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18143">
    <w:abstractNumId w:val="53718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96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