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VECSERI</w:t>
            </w:r>
          </w:p>
          <w:p w:rsidR="00C275A3" w:rsidRDefault="00A96AEC" w:rsidP="00C275A3">
            <w:pPr>
              <w:pStyle w:val="Hallgatokepzes"/>
            </w:pPr>
            <w:r>
              <w:t>Military leadership</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retired Colonel Dr. Ottó Czuprák</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military leadership selection system of the Hungarian Defence Forces, potential developments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case of the Hungarian Defence Forces, the selection of the officers in combat posts, unlike in case of other organisations, starts before entering BSc education and training. Those, who graduate from Military Leader BSc are the ones placed at fields of operation where they may have to make decisions affecting life or death. High ranking military officers are also selected from them, who may lead the organisation or its higher units, because they acquire such specific knowledge of which could not be done elsewhere.</w:t>
      </w:r>
      <w:r>
        <w:rPr>
          <w:color w:val="000000"/>
          <w:sz w:val="24"/>
          <w:szCs w:val="24"/>
        </w:rPr>
        <w:br/>
        <w:t xml:space="preserve">At present, School-Leaving Examination results are the basis of accepting candidates passing the aptitude tests. This way, candidates with better general knowledge are accepted, instead of those with better leadership competences. In my thesis, I am going to describe and collate the selection systems and their applicable procedures of the Hungarian and other countries Defence Forces, and I am also trying to recommend scopes for further development.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50032">
    <w:multiLevelType w:val="hybridMultilevel"/>
    <w:lvl w:ilvl="0" w:tplc="277103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50032">
    <w:abstractNumId w:val="382500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3892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