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TEKLA POLGÁR</w:t>
            </w:r>
          </w:p>
          <w:p w:rsidR="00C275A3" w:rsidRDefault="00A96AEC" w:rsidP="00C275A3">
            <w:pPr>
              <w:pStyle w:val="Hallgatokepzes"/>
            </w:pPr>
            <w:r>
              <w:t>International relations</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Gergó PhD</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stands the changing process of the EU’s CFSP at this time?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Union is a sui generis participant of the international system, taking part in its formation in a peculiar way, bringing about a general uncertainty concerning its aims and structure. In order to remedy the problem and at the same time be a more stressed actor of the international system, the establishment of the CFSP have taken place with the aim of the later deepening. While the EU assumes the features of a „meta-state” on a number of areas, we cannot claim the same with regard to the CFSP. In fact, as for the member states’ different point of views, we reckon that the deepening will not be rendered possible in the future.</w:t>
      </w:r>
      <w:r>
        <w:rPr>
          <w:color w:val="000000"/>
          <w:sz w:val="24"/>
          <w:szCs w:val="24"/>
        </w:rPr>
        <w:br/>
        <w:t xml:space="preserve">The first section of the thesis examines that to what extent the national interest of the member states can be squared with the common european interest. After that, it offers a brief survey of the historical way of the CFSP. Furthermore, the author takes into consideration the Lisbon Treaty's main measurements on the field of CFSP. In addition, the thesis investigates what personification, institutionalization helps the practical function – with special regard to the arab spring.</w:t>
      </w:r>
      <w:r>
        <w:rPr>
          <w:color w:val="000000"/>
          <w:sz w:val="24"/>
          <w:szCs w:val="24"/>
        </w:rPr>
        <w:br/>
        <w:t xml:space="preserve">After surveyed the relevant national and international literature, legal documents as well as the practice, the thesis gives an answer to the question where the EU’s CFSP stands at this time and how the foreign policy can advance the EU to be a global player in the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01735">
    <w:multiLevelType w:val="hybridMultilevel"/>
    <w:lvl w:ilvl="0" w:tplc="41200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01735">
    <w:abstractNumId w:val="49901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508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