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TATÁR</w:t>
            </w:r>
          </w:p>
          <w:p w:rsidR="00C275A3" w:rsidRDefault="00A96AEC" w:rsidP="00C275A3">
            <w:pPr>
              <w:pStyle w:val="Hallgatokepzes"/>
            </w:pPr>
            <w:r>
              <w:t>International Studies</w:t>
            </w:r>
            <w:r>
              <w:br/>
            </w:r>
            <w:r w:rsidR="00E77B23">
              <w:t>BA, 5.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Gergó</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Greece at a cross-road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international media has been loud about the Greek events. The European public opinion is excited about a possible bankruptcy, the „Grexit” or the Greek elections.</w:t>
      </w:r>
      <w:r>
        <w:rPr>
          <w:color w:val="000000"/>
          <w:sz w:val="24"/>
          <w:szCs w:val="24"/>
        </w:rPr>
        <w:br/>
        <w:t xml:space="preserve">Are these news only created by the media or real problems of Greece, which were hidden till nowadays and they have become obvious due to the financial-economic crisis? What does the instability of the Greek economy stem from and which are the current issues of the last 2-3 years? The composition aims to do an overview of these questions and to outline the scripts of the crisis management.</w:t>
      </w:r>
      <w:r>
        <w:rPr>
          <w:color w:val="000000"/>
          <w:sz w:val="24"/>
          <w:szCs w:val="24"/>
        </w:rPr>
        <w:br/>
        <w:t xml:space="preserve">The introduction reviews the process of the partnership and the accession, focusing on the problematic areas, which hardened the close-up to the European Union. It depicts the regularly emerging conflicts between the Community and Greece. After that it shows the main factors of the continuously deepening crisis. The composition ends with the comparative analysis of the arguments, scripts and reform conceptions about the future of Greece.</w:t>
      </w:r>
      <w:r>
        <w:rPr>
          <w:color w:val="000000"/>
          <w:sz w:val="24"/>
          <w:szCs w:val="24"/>
        </w:rPr>
        <w:br/>
        <w:t xml:space="preserve">The Greek affair demonstrates the problems connected with the future of the EU and the euro zone as well as the conflict of interests between the „core” and the „peripheral” countries in the EU. The solution may give an answer to the question: which integration model can lead to another European Union of the future?</w:t>
      </w:r>
      <w:r>
        <w:rPr>
          <w:color w:val="000000"/>
          <w:sz w:val="24"/>
          <w:szCs w:val="24"/>
        </w:rPr>
        <w:br/>
        <w:t xml:space="preserve">The conclusion depends upon the edifications of the national and the international literature, furthermore the analysis of the questionnaire filled by Greek students.</w:t>
      </w:r>
    </w:p>
    <w:p>
      <w:pPr>
        <w:pBdr/>
        <w:spacing w:before="240" w:after="240" w:line="240" w:lineRule="auto"/>
        <w:ind w:left="0" w:right="0"/>
        <w:jc w:val="left"/>
      </w:pPr>
      <w:r>
        <w:rPr>
          <w:color w:val="000000"/>
          <w:sz w:val="24"/>
          <w:szCs w:val="24"/>
        </w:rPr>
        <w:t xml:space="preserve">Keywords: Greek crisis, eurozone, multi-speed Europe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43717">
    <w:multiLevelType w:val="hybridMultilevel"/>
    <w:lvl w:ilvl="0" w:tplc="64810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43717">
    <w:abstractNumId w:val="26543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406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