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NÁDASDI NÓRA</w:t>
            </w:r>
          </w:p>
          <w:p w:rsidR="00C275A3" w:rsidRDefault="00A96AEC" w:rsidP="00C275A3">
            <w:pPr>
              <w:pStyle w:val="Hallgatokepzes"/>
            </w:pPr>
            <w:r>
              <w:t>anglisztika</w:t>
            </w:r>
            <w:r>
              <w:br/>
            </w:r>
            <w:r w:rsidR="00E77B23">
              <w:t>BA,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Károli Gáspár Református 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Fabiny Tibor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tanár, KRE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Egymás hálójában -- Barabás és Shylock távolítandó rokonsága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  Shakespeare és Marlowe egymásra gyakorolt hatása régóta a tudományos gondolkodás tárgya. Jelentős azoknak az irodalmi feltevéseknek a súlya, amelyek kettejük műveit szoros összefüggésekben szemlélik, de ezek gyakorta nem a tisztánlátást segítik, hanem egy sűrűn szőtt érvrendszer hálójába való gabalyodást erősítik. A máltai zsidó és A velencei kalmár mint azóta is hatást gyakorló művek esetében a két mű alapvető különbségeinek feltárása a dolgozat annak a bizonyítására törekszik, hogy ezen két mű egymástól való eltávolításában mutatkozik meg azok egyéni jelentősége.</w:t>
      </w:r>
      <w:r>
        <w:rPr>
          <w:color w:val="000000"/>
          <w:sz w:val="24"/>
          <w:szCs w:val="24"/>
        </w:rPr>
        <w:br/>
        <w:t xml:space="preserve">       Samuel Blumenfeld írja a Marlowe-Shakespeare Connection című könyvében, hogy Barabás és Shylock karaktere egy elme szikrája: Marlowe-é. Ahogy Charles Edelman is rámutat a „Which is the Jew That Shakespeare Knew?” című tanulmányában, kézenfekvő, de tévutakat nyitó feltételezés azt az irodalmi hagyományt követni, melyben Shylock irodalmi előzményét kutatják, gyakorta művek egymásnak való megfeleltetésével.</w:t>
      </w:r>
      <w:r>
        <w:rPr>
          <w:color w:val="000000"/>
          <w:sz w:val="24"/>
          <w:szCs w:val="24"/>
        </w:rPr>
        <w:br/>
        <w:t xml:space="preserve">        Bár mindkét dráma történetvezetése a pénzt tematizálja, ritkán érvényesítik azt a szempontot, mely szerint a korai modern politikai és gazdasági berendezkedés alapján vizsgálják a két műben megjelenő problémafelvetéseket. Márpedig ennek a nézőpontnak a figyelmen kívül hagyásával elveszne egy olyan szempont, mellyel a két főhős távoli rokonságát bizonyíthatnánk.. Barabás kereskedő, aki az egyén etikai cselekedeteitől egészen a politika működési mechanizmusainak megvilágításáig tágítja az uzsora kontextusát, árnyaltan bemutatva az állam, a kereskedelem és a vallás viszonyát. Shylock azt az érzékeny viszonyrendszert tárja elénk egy uzsorás szemszögéből, melyben a velencei államban kereskedelmi katalizátorként működő, mégis megvetett zsidóság jogok igénylésével is szeretné megalapozni társadalmi pozícióit.</w:t>
      </w:r>
      <w:r>
        <w:rPr>
          <w:color w:val="000000"/>
          <w:sz w:val="24"/>
          <w:szCs w:val="24"/>
        </w:rPr>
        <w:br/>
        <w:t xml:space="preserve">       Főhőse formálásakor Shakespeare bizonyosan észrevette azt a hatékony feszültségkeltő kettősséget, ahogyan Barabás idegenként van jelen egy meghatározóan keresztény közösségben. Marlowe és Shakespeare egyaránt él annak az eszközével, hogy sem a zsidókat, sem a keresztényeket nem ábrázolja fehéren-feketén.</w:t>
      </w:r>
      <w:r>
        <w:rPr>
          <w:color w:val="000000"/>
          <w:sz w:val="24"/>
          <w:szCs w:val="24"/>
        </w:rPr>
        <w:br/>
        <w:t xml:space="preserve">       A két mű egymásnak való megfeleltetése helyett a dolgozat azt az utat szeretné követni, amely feltételezi, hogy eltérő a Marlowe-féle és a Shakespeare-féle drámai ösvény; nem érhető tetten A velencei kalmárban a Marlowe által indukált hatásoknak A máltai zsidóból való kreatív alkotói munka nélküli átvétele, ezért nem is egyértelműsíthetők ezek a marlowe-i hatások.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8070159">
    <w:multiLevelType w:val="hybridMultilevel"/>
    <w:lvl w:ilvl="0" w:tplc="9382083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8070159">
    <w:abstractNumId w:val="5807015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4924312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