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NADASDI</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Fabiny</w:t>
            </w:r>
          </w:p>
          <w:p w:rsidR="00DB4822" w:rsidRDefault="00DB4822" w:rsidP="00E11062">
            <w:pPr>
              <w:pStyle w:val="Konzulensek"/>
            </w:pPr>
            <w:r w:rsidRPr="00DB4822">
              <w:t>university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remote kinship of the characters of Barabas and Shylock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Samuel Blumenfeld argues in his book, the Marlowe-Shakespeare Connection – A New Study of the Authorship, both of the characters of Barabas and Shylock were the products of one brain: Marlowe’s. As Charles Edelman points out in his research „Which is the Jew That Shakespeare Knew?”, following the literary tradition in which the literary predecessor of Shylock is being chased would be obvious choice, but it drives the reader to a misleading path.</w:t>
      </w:r>
      <w:r>
        <w:rPr>
          <w:color w:val="000000"/>
          <w:sz w:val="24"/>
          <w:szCs w:val="24"/>
        </w:rPr>
        <w:br/>
        <w:t xml:space="preserve">Nevertheless both of the dramas place the topic of money in the centre, the taking the aspect of examining the problems in respect of the early modern political and economic system is rather seldom, although it is another standpoint that proves the distant kinship of the two dramas.</w:t>
      </w:r>
      <w:r>
        <w:rPr>
          <w:color w:val="000000"/>
          <w:sz w:val="24"/>
          <w:szCs w:val="24"/>
        </w:rPr>
        <w:br/>
        <w:t xml:space="preserve">When shaping Shylock’s character, Shakespeare might have noticed the effective technique of inducing tension how Marlowe places Barabas as an alien in a predominantly Christian community. Marlowe and Shakespeare both successfully use the tool of ambiguity; neither the Christians nor the Jews were portrayed without negativities.</w:t>
      </w:r>
      <w:r>
        <w:rPr>
          <w:color w:val="000000"/>
          <w:sz w:val="24"/>
          <w:szCs w:val="24"/>
        </w:rPr>
        <w:br/>
        <w:t xml:space="preserve">It has been a subject of academic dispute to detect the effects of Shakespeare’s and Marlowe’s influence on each other’s works. Althouth the literary assumptions often suggest to read these dramas in a strong correlation, it should be argued that in the case of The Jew of Malta and The Merchant of Venice, disclosing the important differences between the two dramas will reveal their significance of their own importance.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5632">
    <w:multiLevelType w:val="hybridMultilevel"/>
    <w:lvl w:ilvl="0" w:tplc="90285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5632">
    <w:abstractNumId w:val="99735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487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