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ZSÓFIA DOBÓ</w:t>
            </w:r>
          </w:p>
          <w:p w:rsidR="00C275A3" w:rsidRDefault="00A96AEC" w:rsidP="00C275A3">
            <w:pPr>
              <w:pStyle w:val="Hallgatokepzes"/>
            </w:pPr>
            <w:r>
              <w:t>psychology</w:t>
            </w:r>
            <w:r>
              <w:br/>
            </w:r>
            <w:r w:rsidR="00E77B23">
              <w:t>BA, 5. semester</w:t>
            </w:r>
          </w:p>
          <w:p w:rsidR="00C265CE" w:rsidRPr="009E5FF1" w:rsidRDefault="00E77B23" w:rsidP="00C275A3">
            <w:pPr>
              <w:pStyle w:val="Hallgatokepzes"/>
              <w:rPr>
                <w:b/>
                <w:caps/>
              </w:rPr>
            </w:pPr>
            <w:r>
              <w:t>Károli Gáspár University of the Reformed Church in Hungary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Mónika Albu</w:t>
            </w:r>
          </w:p>
          <w:p w:rsidR="00DB4822" w:rsidRDefault="00DB4822" w:rsidP="00E11062">
            <w:pPr>
              <w:pStyle w:val="Konzulensek"/>
            </w:pPr>
            <w:r w:rsidRPr="00DB4822">
              <w:t>professor’s assistant , KRE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Are false memories context-dependant within the DRM-paradigm?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aim of the current research is to examine the effects of the experimental environment (outer context) and qualification (inner context) within the Deese-Roedriger-McDermott (DRM) paradigm concentrating on the differences between the states of awareness (remember/know paradigm). 40 people participated in the trial, which took place at two different venues serving as the determinants of the outer context. I used two of the original DRM word lists (translated to Hungarian) adjusted to the context. Based on the effect the spreading activation theory and monitoring has on memory, I anticipated that more critical lures would appear when a word list congruent with the context was presented, than when an incongruent word list was used. Furthermore, I expected that the appearing critical lures would be linked to the episodic memory, and therefore the majority would be marked as „I remember” rather than „I know”. One of the two locations bore special significance given that qualification as inner context was also an influencing factor along with environment. With the principle of distinctiveness heuristics taken into consideration, the question of whether earlier and frequently used knowledge has any effect on the appearance of false memories emerged. Based on my results, no significant difference between the venues was revealed when examining the recognition of false memories. Significant differences emerged between the two states of awareness when qualification as inner context was factored in.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023672">
    <w:multiLevelType w:val="hybridMultilevel"/>
    <w:lvl w:ilvl="0" w:tplc="811954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023672">
    <w:abstractNumId w:val="3202367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8373367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