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ERDOS</w:t>
            </w:r>
          </w:p>
          <w:p w:rsidR="00C275A3" w:rsidRDefault="00A96AEC" w:rsidP="00C275A3">
            <w:pPr>
              <w:pStyle w:val="Hallgatokepzes"/>
            </w:pPr>
            <w:r>
              <w:t>Psychology BA</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KATALIN GERGALY</w:t>
            </w:r>
          </w:p>
          <w:p w:rsidR="00DB4822" w:rsidRDefault="00C275A3" w:rsidP="004D7940">
            <w:pPr>
              <w:pStyle w:val="Hallgatokepzes"/>
            </w:pPr>
            <w:r>
              <w:t>Psychology BA</w:t>
            </w:r>
            <w:r w:rsidR="00A96AEC">
              <w:br/>
              <w:t>BA, 5. semester</w:t>
            </w:r>
          </w:p>
          <w:p w:rsidR="00DB4822" w:rsidRDefault="00DB4822" w:rsidP="004D7940">
            <w:pPr>
              <w:pStyle w:val="Hallgatointezmeny-kar"/>
            </w:pPr>
            <w:r>
              <w:t>Károli Gáspár University of the Reformed Church in Hungary</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Suranyi</w:t>
            </w:r>
          </w:p>
          <w:p w:rsidR="00DB4822" w:rsidRDefault="00DB4822" w:rsidP="00E11062">
            <w:pPr>
              <w:pStyle w:val="Konzulensek"/>
            </w:pPr>
            <w:r w:rsidRPr="00DB4822">
              <w:t>professor's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Affective features of ADHD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researches about ADHD emphasize behaviour deficit, the emotional distresses are noticed only nowdays. The children living with ADHD performed significantly worse in those tasks, where they must recognize emotions from faces (Lyon, Yuill, 2007), and where they had to recognize emotions from the context ( De Fonseca, De Ruelle, Poinso, Santos and Seguier, 2009). However in these researches the cognitive and affective functions were measured by different tasks. At the same, the neural network theory says, that the cognitive-affective functions create a web-system in the nervous system, so its assumable that they are in interaction with each other (Ledoux, 1989). Its typical, that the children with ADHD have no fear from danger, and because of this, the agitation seeking behaviour (Selkowitz, 2009). We can measure this in the personality psychology with sensoric sensation seeking, what is in connection with the ADHD by the researches (Fowler et al,1980). What gives the innovation to our research is that the cognitive inhibition and emotional processing procedures are interpreted in one paradigm. Because of this, we are able to study the interactions mentioned above, because these systems are not independent from each other.</w:t>
      </w:r>
    </w:p>
    <w:p>
      <w:pPr>
        <w:widowControl w:val="on"/>
        <w:pBdr/>
        <w:spacing w:before="240" w:after="240" w:line="240" w:lineRule="auto"/>
        <w:ind w:left="0" w:right="0"/>
        <w:jc w:val="left"/>
      </w:pPr>
      <w:r>
        <w:rPr>
          <w:color w:val="000000"/>
          <w:sz w:val="24"/>
          <w:szCs w:val="24"/>
        </w:rPr>
        <w:t xml:space="preserve">Method: Subject’s group contain 16, 8-10 year old, hyperactive children, the control group contains 20 almost same age, normal developing kids. We used the E-prime computer software during our study, what is based on modified Go/No-Go and Stroop tasks. For the answering, they had to react for pozitive, negative and neutral words by special buttons. Next to this, everybody filled the children sensoric sensation seeking scale (Russo et al, 1993).</w:t>
      </w:r>
    </w:p>
    <w:p>
      <w:pPr>
        <w:widowControl w:val="on"/>
        <w:pBdr/>
        <w:spacing w:before="240" w:after="240" w:line="240" w:lineRule="auto"/>
        <w:ind w:left="0" w:right="0"/>
        <w:jc w:val="left"/>
      </w:pPr>
      <w:r>
        <w:rPr>
          <w:color w:val="000000"/>
          <w:sz w:val="24"/>
          <w:szCs w:val="24"/>
        </w:rPr>
        <w:t xml:space="preserve">Our hypothesis: The hyperactive children will perform worse in the cognitive inhibition tasks, and deficit will observable during emotional stimulus. The children with ADHD will show sensoric sensation seeking. We presume, that the 2 system observed are linked to each other. Our further hypothesis is, that the hyperactive children will show higher sensation seeking than the control group.</w:t>
      </w:r>
    </w:p>
    <w:p>
      <w:pPr>
        <w:widowControl w:val="on"/>
        <w:pBdr/>
        <w:spacing w:before="240" w:after="240" w:line="240" w:lineRule="auto"/>
        <w:ind w:left="0" w:right="0"/>
        <w:jc w:val="left"/>
      </w:pPr>
      <w:r>
        <w:rPr>
          <w:color w:val="000000"/>
          <w:sz w:val="24"/>
          <w:szCs w:val="24"/>
        </w:rPr>
        <w:t xml:space="preserve">Results: Our results support the things mentioned above. The deficit will show in the case of disturbing stimulus. The subjects show damage in the affective processing. The sensoric sensation seeking is a presonality dimension of the ADHD.</w:t>
      </w:r>
    </w:p>
    <w:p>
      <w:pPr>
        <w:widowControl w:val="on"/>
        <w:pBdr/>
        <w:spacing w:before="240" w:after="240" w:line="240" w:lineRule="auto"/>
        <w:ind w:left="0" w:right="0"/>
        <w:jc w:val="left"/>
      </w:pPr>
      <w:r>
        <w:rPr>
          <w:color w:val="000000"/>
          <w:sz w:val="24"/>
          <w:szCs w:val="24"/>
        </w:rPr>
        <w:t xml:space="preserve">Keywords: ADHD, cognitive inhibition, emotions, sensation seeking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57164">
    <w:multiLevelType w:val="hybridMultilevel"/>
    <w:lvl w:ilvl="0" w:tplc="40272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57164">
    <w:abstractNumId w:val="38357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832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