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BAKOS</w:t>
            </w:r>
          </w:p>
          <w:p w:rsidR="00C275A3" w:rsidRDefault="00A96AEC" w:rsidP="00C275A3">
            <w:pPr>
              <w:pStyle w:val="Hallgatokepzes"/>
            </w:pPr>
            <w:r>
              <w:t>Religious Studies</w:t>
            </w:r>
            <w:r>
              <w:br/>
            </w:r>
            <w:r w:rsidR="00E77B23">
              <w:t>MA, 9.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Dániel Bárth</w:t>
            </w:r>
          </w:p>
          <w:p w:rsidR="00DB4822" w:rsidRDefault="00DB4822" w:rsidP="00E11062">
            <w:pPr>
              <w:pStyle w:val="Konzulensek"/>
            </w:pPr>
            <w:r w:rsidRPr="00DB4822">
              <w:t>associate professor, ELTE BTK</w:t>
            </w:r>
          </w:p>
        </w:tc>
      </w:tr>
      <w:tr w:rsidR="00DB4822" w:rsidTr="00DB4822">
        <w:tc>
          <w:tcPr>
            <w:tcW w:w="9854" w:type="dxa"/>
          </w:tcPr>
          <w:p w:rsidR="00DB4822" w:rsidRPr="00DB4822" w:rsidRDefault="00DB4822" w:rsidP="004D7940">
            <w:pPr>
              <w:pStyle w:val="Konzulensek"/>
            </w:pPr>
            <w:r w:rsidRPr="00DB4822">
              <w:t>Dr. Csaba Máté Sarnyai </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Folklore and Religion - about the poem books of a protestant peasant woman from Beregújfalu</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paper is to construe the content of hand-written poem books. It is part of the peasant culture of the 20th century, its text corpus stands between the oral and written tradition. My intention was not to focus on the different origins of the texts, but rather to understand the collection itself in its occurrence, in its way of existence. In the process I tried to apply two different methods. The first deals with the individual, the life-path, deep religiosity, the socio-cultural atmosphere as a context and a field for understanding. Thus we can understand how the texts find their place in the life path, how life and historical experiences, personal preferences, life situations affect the creation, the setting and the handover of tradition. The second one concentrates on the texts itself; it tries to answers the question of how this specific genre of folklore obtains its own meaning.</w:t>
      </w:r>
    </w:p>
    <w:p>
      <w:pPr>
        <w:widowControl w:val="on"/>
        <w:pBdr/>
        <w:spacing w:before="240" w:after="240" w:line="240" w:lineRule="auto"/>
        <w:ind w:left="0" w:right="0"/>
        <w:jc w:val="left"/>
      </w:pPr>
      <w:r>
        <w:rPr>
          <w:color w:val="000000"/>
          <w:sz w:val="24"/>
          <w:szCs w:val="24"/>
        </w:rPr>
        <w:t xml:space="preserve">In my interpretation the poems share properties with the liminal phases. Concerning their esthetical value and their authors, the texts are far from each other, but they all show a sense of community. The celebrations, where the verses were recited have their own liminal phases just as the forms and situations, when the poems were written down (poems of remembrance, “military books”, letters, memory books). The verses speak about the values and experiences that a community shares.</w:t>
      </w:r>
    </w:p>
    <w:p>
      <w:pPr>
        <w:widowControl w:val="on"/>
        <w:pBdr/>
        <w:spacing w:before="240" w:after="240" w:line="240" w:lineRule="auto"/>
        <w:ind w:left="0" w:right="0"/>
        <w:jc w:val="left"/>
      </w:pPr>
      <w:r>
        <w:rPr>
          <w:color w:val="000000"/>
          <w:sz w:val="24"/>
          <w:szCs w:val="24"/>
        </w:rPr>
        <w:t xml:space="preserve">By applying the two different methods we can prove that the poem books are consciously built up and form a collection. The individual preferences and the genre seen in this wider meaning with its common sense clearly shows that they do not simply stand by each other, but linked together in a way. They have a special worldview, which is similar, though not as strict as the one that each classical, older, textual folk genre shares.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28473">
    <w:multiLevelType w:val="hybridMultilevel"/>
    <w:lvl w:ilvl="0" w:tplc="54874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28473">
    <w:abstractNumId w:val="67828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367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