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SOÓS JÁNOS</w:t>
            </w:r>
          </w:p>
          <w:p w:rsidR="00C275A3" w:rsidRDefault="00A96AEC" w:rsidP="00C275A3">
            <w:pPr>
              <w:pStyle w:val="Hallgatokepzes"/>
            </w:pPr>
            <w:r>
              <w:t>Élelmiszermérnök MSc.</w:t>
            </w:r>
            <w:r>
              <w:br/>
            </w:r>
            <w:r w:rsidR="00E77B23">
              <w:t>MSc, 4. félév</w:t>
            </w:r>
          </w:p>
          <w:p w:rsidR="00C265CE" w:rsidRPr="009E5FF1" w:rsidRDefault="00E77B23" w:rsidP="00C275A3">
            <w:pPr>
              <w:pStyle w:val="Hallgatokepzes"/>
              <w:rPr>
                <w:b/>
                <w:caps/>
              </w:rPr>
            </w:pPr>
            <w:r>
              <w:t>Budapesti Corvinus Egyetem</w:t>
            </w:r>
            <w:r w:rsidR="00C275A3">
              <w:br/>
            </w:r>
            <w:r w:rsidR="00DB4822">
              <w:t>Élelmiszertudományi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Fekete András</w:t>
            </w:r>
          </w:p>
          <w:p w:rsidR="00DB4822" w:rsidRDefault="00DB4822" w:rsidP="00E11062">
            <w:pPr>
              <w:pStyle w:val="Konzulensek"/>
            </w:pPr>
            <w:r w:rsidRPr="00DB4822">
              <w:t>Egyetemi tanár, BCE ÉTK</w:t>
            </w:r>
          </w:p>
        </w:tc>
      </w:tr>
      <w:tr w:rsidR="00DB4822" w:rsidTr="00DB4822">
        <w:tc>
          <w:tcPr>
            <w:tcW w:w="9854" w:type="dxa"/>
          </w:tcPr>
          <w:p w:rsidR="00DB4822" w:rsidRPr="00DB4822" w:rsidRDefault="00DB4822" w:rsidP="004D7940">
            <w:pPr>
              <w:pStyle w:val="Konzulensek"/>
            </w:pPr>
            <w:r w:rsidRPr="00DB4822">
              <w:t>Kovács Zoltán</w:t>
            </w:r>
          </w:p>
          <w:p w:rsidR="00DB4822" w:rsidRDefault="00DB4822" w:rsidP="00E11062">
            <w:pPr>
              <w:pStyle w:val="Konzulensek"/>
            </w:pPr>
            <w:r w:rsidRPr="00DB4822">
              <w:t>Egyetemi tanársegéd,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Elektronikus nyelv alkalmazása különböző borvidékekről származó borok összehasonlítására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világ nagy részén és hazánkban is legtöbben a vörösbort részesítik előnyben. A fogyasztók és a termelők védelme érdekében szigorú bortörvény és hatósági szabályozás kíséri borkészítés minden mozzanatát. Az ellenőrzések során gyakori az érzékszervi minősítés alkalmazása. Az objektív, reprodukálható megítélésben azonban fontos szerepe lehet az elektronikus nyelv alkalmazásának.</w:t>
      </w:r>
      <w:r>
        <w:rPr>
          <w:color w:val="000000"/>
          <w:sz w:val="24"/>
          <w:szCs w:val="24"/>
        </w:rPr>
        <w:br/>
        <w:t xml:space="preserve">Munkánk során Magyarország különböző borvidékeiről származó fajta-, és házasított borokat vizsgáltunk, köztük vörös és rozé borokat egyaránt. Az érzékszervi bírálat során kizárólag vörösborokat adtunk a bírálóknak rozéborokat nem. A vörösborokat két csoportra osztottuk, hogy a bírálóknak ne kelljen egyszerre az összes borra koncentrálniuk. Azonban kiválasztottunk két olyan bormintát, amelyeket mind a két csoportba beletettünk, átfedést képezve a csoportok között. Átfedésre azért volt szükség, hogy megfigyelhessük mennyire következetesek a bírálók. A bírálóknak a kódolt bormintákat, egy strukturálatlan skálán és 13 szempont alapján kellett értékelniük.</w:t>
      </w:r>
      <w:r>
        <w:rPr>
          <w:color w:val="000000"/>
          <w:sz w:val="24"/>
          <w:szCs w:val="24"/>
        </w:rPr>
        <w:br/>
        <w:t xml:space="preserve">Az érzékszervi bírálatok után a bíráló kiválasztás során arra törekedtünk, hogy azok a bírálók maradjanak az elemzésben, akik a borok íz jellemzőiben egymáshoz hasonló válaszokat adtak. Az érzékszervi vizsgálat eredményei azt mutatták, hogy a bírálók a különböző termőhelyről származó vörösborok között alkoholtartalom, testesség és fás íz szempontjából nem tudták megkülönböztetni a borokat 95%-os szignifikanciaszinten.</w:t>
      </w:r>
      <w:r>
        <w:rPr>
          <w:color w:val="000000"/>
          <w:sz w:val="24"/>
          <w:szCs w:val="24"/>
        </w:rPr>
        <w:br/>
        <w:t xml:space="preserve">Az elektronikus nyelv mérések esetén ugyanúgy két csoportra osztottuk a vörösborokat és még egy-egy rozébort is hozzáadtunk a csoportokhoz. A mérések során három mérési módszer eredményét vizsgáltuk és hasonlítottuk össze. Az első két módszer főkomponens analízis eredményei azt mutatták, hogy sem termőhely, sem fajta szerint nem különültek el az egyes csoportok egymástól. Megállapítottuk, hogy az elektronikus nyelvvel történő mérések közül a harmadik mérési módszer (minden mintát 9x-es ismétlésben mért meg a műszer egymás után) jobban kiemeli a különbséget, ezért ez bizonyult a legjobbnak a vörösborok megkülönböztetésére. A főkomponens és diszkriminancia analízis alapján megállapítottuk, hogy az elektronikus nyelv képes volt elkülöníteni a vörösborokat egymástól termőhely és némely esetben fajta szerint is.</w:t>
      </w:r>
      <w:r>
        <w:rPr>
          <w:color w:val="000000"/>
          <w:sz w:val="24"/>
          <w:szCs w:val="24"/>
        </w:rPr>
        <w:br/>
        <w:t xml:space="preserve">Az érzékszervi tulajdonságok becslése során megállapítottuk, hogy a vizsgált érzékszervi íz jellemzők közül a borok érzékszervi savasság intenzitása becsülhető a legjobban az elektronikus nyelvvel (R</w:t>
      </w:r>
      <w:r>
        <w:rPr>
          <w:color w:val="000000"/>
          <w:position w:val="4"/>
          <w:sz w:val="21"/>
          <w:szCs w:val="21"/>
          <w:vertAlign w:val="superscript"/>
        </w:rPr>
        <w:t xml:space="preserve">2</w:t>
      </w:r>
      <w:r>
        <w:rPr>
          <w:color w:val="000000"/>
          <w:sz w:val="24"/>
          <w:szCs w:val="24"/>
        </w:rPr>
        <w:t xml:space="preserve">=0,8671, RMSEP=6,47%).</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754901">
    <w:multiLevelType w:val="hybridMultilevel"/>
    <w:lvl w:ilvl="0" w:tplc="951837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754901">
    <w:abstractNumId w:val="437549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32112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