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SELYEM</w:t>
            </w:r>
          </w:p>
          <w:p w:rsidR="00C275A3" w:rsidRDefault="00A96AEC" w:rsidP="00C275A3">
            <w:pPr>
              <w:pStyle w:val="Hallgatokepzes"/>
            </w:pPr>
            <w:r>
              <w:t>Food Science and Technology Engineer</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Lakner</w:t>
            </w:r>
          </w:p>
          <w:p w:rsidR="00DB4822" w:rsidRDefault="00DB4822" w:rsidP="00E11062">
            <w:pPr>
              <w:pStyle w:val="Konzulensek"/>
            </w:pPr>
            <w:r w:rsidRPr="00DB4822">
              <w:t>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socio-economic of the hungarian food economy and the macro factors of competitiveness in the international comparisons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With my work I would like to undertook, as far as possible to create a complex picture and describe the factors determining the competitiveness of Hungarian food industry is an international comparison. My research was helped by international comparative research methodology in economics backgrounds, a complex database collected by the World Bank. That is sufficiently large availability of information made possible. Widely used the advanced econometric and mathematical equipment and an extensive literature on modern IT tools and advanced mathematical and statistical programs were available (such as SPSS, PAST, R-suite), which have allowed for me to processed a relatively large number of samples.</w:t>
      </w:r>
      <w:r>
        <w:rPr>
          <w:color w:val="000000"/>
          <w:sz w:val="24"/>
          <w:szCs w:val="24"/>
        </w:rPr>
        <w:br/>
        <w:t xml:space="preserve">In my work I have proved thought the international comparison, the share of agriculture in the economic development of each country depending show a downward trend. Furthermore it has been proved that the economic development and export of food products, however, such a trend cannot be detected. There is not any proof that the net food trade balance be associated to the different level of development of the country's economy. This means that it cannot be justified by the assumption that food production would be linked to poverty. It also follows that the development of the food industry remains the most developed countries, we have to compete.</w:t>
      </w:r>
      <w:r>
        <w:rPr>
          <w:color w:val="000000"/>
          <w:sz w:val="24"/>
          <w:szCs w:val="24"/>
        </w:rPr>
        <w:br/>
        <w:t xml:space="preserve">Based on my examinations, it is clear that now is not enough to focus attention on the European market, as many heir production dynamics, enhance and develop its resources of non- European countries are increasing. Therefore the comparison with European countries alone will get you nowhere. Why we need an international outlook. On this basis, vividly shows that the Hungarian agricultural production and food processing in the natural endowments are nearly identical capabilities of Romania. Human resource development is based on similarity of our country in many respects was more socialist countries. The development of logistics infrastructure, however, is up to more successful countries in the developing world can compete only. Connected with the economy of info-communication and R &amp; D background, the Hungarian economy is still holding relatively favorable position, however, is to keep additional measures.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75079">
    <w:multiLevelType w:val="hybridMultilevel"/>
    <w:lvl w:ilvl="0" w:tplc="21254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75079">
    <w:abstractNumId w:val="992750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89188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