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CSILLA BODOLAI</w:t>
            </w:r>
          </w:p>
          <w:p w:rsidR="00C275A3" w:rsidRDefault="00A96AEC" w:rsidP="00C275A3">
            <w:pPr>
              <w:pStyle w:val="Hallgatokepzes"/>
            </w:pPr>
            <w:r>
              <w:t>Food Engineer</w:t>
            </w:r>
            <w:r>
              <w:br/>
            </w:r>
            <w:r w:rsidR="00E77B23">
              <w:t>BSc,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Lakner PhD</w:t>
            </w:r>
          </w:p>
          <w:p w:rsidR="00DB4822" w:rsidRDefault="00DB4822" w:rsidP="00E11062">
            <w:pPr>
              <w:pStyle w:val="Konzulensek"/>
            </w:pPr>
            <w:r w:rsidRPr="00DB4822">
              <w:t>professor , BCE ÉTK</w:t>
            </w:r>
          </w:p>
        </w:tc>
      </w:tr>
      <w:tr w:rsidR="00DB4822" w:rsidTr="00DB4822">
        <w:tc>
          <w:tcPr>
            <w:tcW w:w="9854" w:type="dxa"/>
          </w:tcPr>
          <w:p w:rsidR="00DB4822" w:rsidRPr="00DB4822" w:rsidRDefault="00DB4822" w:rsidP="004D7940">
            <w:pPr>
              <w:pStyle w:val="Konzulensek"/>
            </w:pPr>
            <w:r w:rsidRPr="00DB4822">
              <w:t>Gyula Kasza PhD</w:t>
            </w:r>
          </w:p>
          <w:p w:rsidR="00DB4822" w:rsidRDefault="00DB4822" w:rsidP="00E11062">
            <w:pPr>
              <w:pStyle w:val="Konzulensek"/>
            </w:pPr>
            <w:r w:rsidRPr="00DB4822">
              <w:t>assistant professor ,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factors influencing social acceptance of plant biotechnology innovations based on a primer qualitative study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Analysis of factors influencing social acceptance of plant biotechnology innovations based on a primer qualitative study</w:t>
      </w:r>
    </w:p>
    <w:p>
      <w:pPr>
        <w:widowControl w:val="on"/>
        <w:pBdr/>
        <w:spacing w:before="240" w:after="240" w:line="240" w:lineRule="auto"/>
        <w:ind w:left="0" w:right="0"/>
        <w:jc w:val="left"/>
      </w:pPr>
      <w:r>
        <w:rPr>
          <w:color w:val="000000"/>
          <w:sz w:val="24"/>
          <w:szCs w:val="24"/>
        </w:rPr>
        <w:t xml:space="preserve">The aim of this study was to measure consumer preferences and attitudes in connection with genetically modified foods. With the study I could join to a research program started 12 years ago at the Department of Food Economics in Corvinus University of Budapest, so it provided opportunity to compare results with previous experience. For research methodology we preferred a qualitative survey with personal interviews. Data gathering took 19 days in 5 different regions of Hungary. The number of respondents has been 2251.</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Hypothesis 1: The consumers, who are informed and interested in the topics of biotechnology and genetic modification more likely to accept genetically modified foods. The hypothesis failed. According to the survey results - based on several factors - the conclusion is that awareness and interest in natural sciences inversely proportional to preference of genetically modified food products.</w:t>
      </w:r>
      <w:r>
        <w:rPr>
          <w:color w:val="000000"/>
          <w:sz w:val="24"/>
          <w:szCs w:val="24"/>
        </w:rPr>
        <w:br/>
        <w:t xml:space="preserve">Hypothesis 2: In the society the rejection in connection with the technology is still general. According to the experience of previous years the propriety of hypothesis was predictable. Still, in spite of the robust rejection, there is a new observation that the ratio of uncertain opinions decreased while the ratio of acceptance increased. In the same time these opinions represent less than 1/3rd of the sample.</w:t>
      </w:r>
      <w:r>
        <w:rPr>
          <w:color w:val="000000"/>
          <w:sz w:val="24"/>
          <w:szCs w:val="24"/>
        </w:rPr>
        <w:br/>
        <w:t xml:space="preserve">Hypothesis 3: Certain demographic groups are significantly different in connection with the preference of genetically modified foods. The hypothesis was partly proved: strong significant differences were measured in gender, age and education, but some other demographic parameters (such as region and household size) did not have an effect.</w:t>
      </w:r>
    </w:p>
    <w:p>
      <w:pPr>
        <w:widowControl w:val="on"/>
        <w:pBdr/>
        <w:spacing w:before="240" w:after="240" w:line="240" w:lineRule="auto"/>
        <w:ind w:left="0" w:right="0"/>
        <w:jc w:val="left"/>
      </w:pPr>
      <w:r>
        <w:rPr>
          <w:color w:val="000000"/>
          <w:sz w:val="24"/>
          <w:szCs w:val="24"/>
        </w:rPr>
        <w:t xml:space="preserve">Comparing recent results to previous experience of the research program since 2001 the conclusion is the following: although there is a slight growth in the ratio of consumers showing acceptance to genetically modified food products, the vast majority of Hungarian citizens still rejects the technology. However, this attitude increasingly originating in the lack of tangible and perceived benefits for the consumers and not the perceived level of risks.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60283">
    <w:multiLevelType w:val="hybridMultilevel"/>
    <w:lvl w:ilvl="0" w:tplc="27162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60283">
    <w:abstractNumId w:val="19260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925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