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BERTOLD SALAMON</w:t>
            </w:r>
          </w:p>
          <w:p w:rsidR="00C275A3" w:rsidRDefault="00A96AEC" w:rsidP="00C275A3">
            <w:pPr>
              <w:pStyle w:val="Hallgatokepzes"/>
            </w:pPr>
            <w:r>
              <w:t>food engineer</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Dalmadi PhD</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anthocyanin-content of strawberry puree treated by high hydrostatic pressure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Large amount of anthocyanins can be found in strawberry which can neutralize free radicals effectively due to their antioxidant activity, and provide bright red hue. Unfortunately, these compounds are very sensitive; lose their stability easily during processing and storage (eg., high temperature, pH, UV radiation). These various factors decrease anthocyanin content of strawberries and derived products, and result in undesirable change in the color (browning). Beside external factors, added ingredients (eg., ascorbic acid, sugar) also can affect the stability of anthocyanins. Before applying a new method (such as high hydrostatic pressure treatment) for preservation of strawberry, magnitude of the effect of internal and external factors on anthocyanin-content have to be evaluated.</w:t>
      </w:r>
    </w:p>
    <w:p>
      <w:pPr>
        <w:pBdr/>
        <w:spacing w:before="240" w:after="240" w:line="240" w:lineRule="auto"/>
        <w:ind w:left="0" w:right="0"/>
        <w:jc w:val="left"/>
      </w:pPr>
      <w:r>
        <w:rPr>
          <w:color w:val="000000"/>
          <w:sz w:val="24"/>
          <w:szCs w:val="24"/>
        </w:rPr>
        <w:t xml:space="preserve">For the experimental work, pureé was prepared  and centrifugated from the strawberrys to moderate the level of undesirable oxidation of anthocyanins during storage, pureé was centrifuged twice for 20 min, at 1000 rpm and 4°C to remove fibres which might incorporate air bubbles. Supernatant of centrifuged samples were supplemented with glucose to 10-20% refraction, respectively, and 0-0.3% ascorbic acid was added. Airtight plastic bags were filled with samples, treated by high hydrostatic pressure between 400 MPa-600 MPa from 5 to 20 minutes, and then were stored for 21 days at 20°C. Total anthocyanin content was determined by a hydrochloric acid extraction followed by absorbance measurement.</w:t>
      </w:r>
    </w:p>
    <w:p>
      <w:pPr>
        <w:pBdr/>
        <w:spacing w:before="240" w:after="240" w:line="240" w:lineRule="auto"/>
        <w:ind w:left="0" w:right="0"/>
        <w:jc w:val="left"/>
      </w:pPr>
      <w:r>
        <w:rPr>
          <w:color w:val="000000"/>
          <w:sz w:val="24"/>
          <w:szCs w:val="24"/>
        </w:rPr>
        <w:t xml:space="preserve">The results showed that right after high hydrostatic pressure treatments anthocyanin content of strawberry juices decreased, but not drastically. The pressure level, the treatment time and the addition of sugar did not change the anthocyanin content significantly. However, ascorbic acid supplementation showed a kind of protective effect on anthocyanins.</w:t>
      </w:r>
    </w:p>
    <w:p>
      <w:pPr>
        <w:pBdr/>
        <w:spacing w:before="240" w:after="240" w:line="240" w:lineRule="auto"/>
        <w:ind w:left="0" w:right="0"/>
        <w:jc w:val="left"/>
      </w:pPr>
      <w:r>
        <w:rPr>
          <w:color w:val="000000"/>
          <w:sz w:val="24"/>
          <w:szCs w:val="24"/>
        </w:rPr>
        <w:t xml:space="preserve">After storage, the anthocyanin content was almost halved compared to zero-day samples. Contradictorily to the above mentioned fact, addition of ascorbic acid reduced the anthocyanin content, while the higher sugar content preserved it. Based on the examination of interactions, it can be concluded, that the application of added ascorbic acid and longer treatment time together preserved the anthocyanin content significantly, and interestingly, the same result was found in case of the combination of added sugar and longer pressure time.</w:t>
      </w:r>
    </w:p>
    <w:p>
      <w:pPr>
        <w:pBdr/>
        <w:spacing w:before="240" w:after="240" w:line="240" w:lineRule="auto"/>
        <w:ind w:left="0" w:right="0"/>
        <w:jc w:val="left"/>
      </w:pPr>
      <w:r>
        <w:rPr>
          <w:color w:val="000000"/>
          <w:sz w:val="24"/>
          <w:szCs w:val="24"/>
        </w:rPr>
        <w:t xml:space="preserve">The work was support by the projects of TÁMOP-4.2.1/B-09/1/KMR-2010-0005 and TÁMOP-4.2.2.B-10/1-2010-0023.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72121">
    <w:multiLevelType w:val="hybridMultilevel"/>
    <w:lvl w:ilvl="0" w:tplc="45965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72121">
    <w:abstractNumId w:val="26572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842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