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DARINKA GYORKI</w:t>
            </w:r>
          </w:p>
          <w:p w:rsidR="00C275A3" w:rsidRDefault="00A96AEC" w:rsidP="00C275A3">
            <w:pPr>
              <w:pStyle w:val="Hallgatokepzes"/>
            </w:pPr>
            <w:r>
              <w:t>Department of Brewing &amp; Distilling</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Rezessy-Szabó Ph.D.</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Enhancement of the productivity of alpha-galctosidase enzyme on galactomannan substrate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Alpha-galactosidase enzyme is a glycosylhydrolase enzyme that catalyses the formation and hydrosis of the alpha-galactosidase bonds. The widespread application of enzyme technologies creates a demand for enzymes that are fitting to the relevant areas. Therefore scientific attention is given to their production and research. Thermomyces lanuginosus is a thermophilic filamentous fungus. From a biotechnological point of view, it has a potential for various applications, as it can be easily cultivated, is not pathogenic and does not produce toxins. The fungus synthesises extracellular enzymes with high temperature optimum, which makes the extraction of the enzyme easier from the fermentation broth. Enzymes synthesized on galactomannans are very promising in the modification of the gelation properties of different galactomannans, and in synthesis processes.</w:t>
      </w:r>
      <w:r>
        <w:rPr>
          <w:color w:val="000000"/>
          <w:sz w:val="24"/>
          <w:szCs w:val="24"/>
        </w:rPr>
        <w:br/>
        <w:t xml:space="preserve">In order to reach these final goals it was important to increase the yield of fermentation technology, to reduce the technological time, and to optimize the composition of the medium.</w:t>
      </w:r>
      <w:r>
        <w:rPr>
          <w:color w:val="000000"/>
          <w:sz w:val="24"/>
          <w:szCs w:val="24"/>
        </w:rPr>
        <w:br/>
        <w:t xml:space="preserve">In my research work T. lanuginosus CBS 395.62 / b strain and locust bean gum as the main growth substrate for galactomannan were used. During the fermentation enzyme activity and pH was measured.</w:t>
      </w:r>
      <w:r>
        <w:rPr>
          <w:color w:val="000000"/>
          <w:sz w:val="24"/>
          <w:szCs w:val="24"/>
        </w:rPr>
        <w:br/>
        <w:t xml:space="preserve">The enzyme fermentation experiments were realized in shake-flask and also in laboratory fermenter. In the 4-day fermentation period with shake-flask experiment, the average enzyme activity was 10 U/ml. This result is at least twice higher reported by the literature, which was achieved in 6-days of fermentation.</w:t>
      </w:r>
      <w:r>
        <w:rPr>
          <w:color w:val="000000"/>
          <w:sz w:val="24"/>
          <w:szCs w:val="24"/>
        </w:rPr>
        <w:br/>
        <w:t xml:space="preserve">To optimize the composition of the culture medium an orthogonal two level three factorial experimental design was used.</w:t>
      </w:r>
      <w:r>
        <w:rPr>
          <w:color w:val="000000"/>
          <w:sz w:val="24"/>
          <w:szCs w:val="24"/>
        </w:rPr>
        <w:br/>
        <w:t xml:space="preserve">In the presence of the Tween 65 surfactant the increase of the glucose concentration and the decrease of the LBG concentration may result in the increase of enzyme activity. In the presence of the Tween 80 surfactant the result was contradictory, higher alpha-galactosidase activity can be predicted by increasing the galactomannan concentration and decreasing the glucose concentration.</w:t>
      </w:r>
      <w:r>
        <w:rPr>
          <w:color w:val="000000"/>
          <w:sz w:val="24"/>
          <w:szCs w:val="24"/>
        </w:rPr>
        <w:br/>
        <w:t xml:space="preserve">After scaling up the technology, I have obtained that higher activity levels can be reached in shake-flask fermentation than stirred reactor with active aeration. This draws attention to the importance of assuring optimal aeration, which may require a different bioreactor design, otherwise a solution could also be developing technology with fungal pellet morphology.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84784">
    <w:multiLevelType w:val="hybridMultilevel"/>
    <w:lvl w:ilvl="0" w:tplc="49101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84784">
    <w:abstractNumId w:val="59584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1781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