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KALÓ</w:t>
            </w:r>
          </w:p>
          <w:p w:rsidR="00C275A3" w:rsidRDefault="00A96AEC" w:rsidP="00C275A3">
            <w:pPr>
              <w:pStyle w:val="Hallgatokepzes"/>
            </w:pPr>
            <w:r>
              <w:t>Food engineer</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Pomázi</w:t>
            </w:r>
          </w:p>
          <w:p w:rsidR="00DB4822" w:rsidRDefault="00DB4822" w:rsidP="00E11062">
            <w:pPr>
              <w:pStyle w:val="Konzulensek"/>
            </w:pPr>
            <w:r w:rsidRPr="00DB4822">
              <w:t>associate professor, BCE ÉTK</w:t>
            </w:r>
          </w:p>
        </w:tc>
      </w:tr>
      <w:tr w:rsidR="00DB4822" w:rsidTr="00DB4822">
        <w:tc>
          <w:tcPr>
            <w:tcW w:w="9854" w:type="dxa"/>
          </w:tcPr>
          <w:p w:rsidR="00DB4822" w:rsidRPr="00DB4822" w:rsidRDefault="00DB4822" w:rsidP="004D7940">
            <w:pPr>
              <w:pStyle w:val="Konzulensek"/>
            </w:pPr>
            <w:r w:rsidRPr="00DB4822">
              <w:t>Kálmán Zoltán Váczy</w:t>
            </w:r>
          </w:p>
          <w:p w:rsidR="00DB4822" w:rsidRDefault="00DB4822" w:rsidP="00E11062">
            <w:pPr>
              <w:pStyle w:val="Konzulensek"/>
            </w:pPr>
            <w:r w:rsidRPr="00DB4822">
              <w:t>research fellow,  KRC Research Institute for viticulture and oenology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Genetic characterization of noble rotted Botrytis cinerea isolates from Eger wine-growing 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filamentous fungus Botrytis cinerea is a well known opportunistic plant pathogen which is the causing agent of the grey rot disease of grapes. On the other hand in case of specific environmental conditions the infection by this fungus leads to the noble rot and the botrytised berries are used for wine making (botrytised wines). The aims of the recent work were to determine the morphological and genetic variability of the B. cinerea populations exist on the experimental territories.</w:t>
      </w:r>
      <w:r>
        <w:rPr>
          <w:color w:val="000000"/>
          <w:sz w:val="24"/>
          <w:szCs w:val="24"/>
        </w:rPr>
        <w:br/>
        <w:t xml:space="preserve">In the course of this work the genetic properties of B. cinerea was investigated in two small vineyards of Szomolya village, which is located in the Eger wine region . Two grape varieties were examined, Olaszrizling and Turán and 176 noble rotted isolates were collected during the year 2011. Individual strains were obtained by single-spore isolation and were identified by their common morphologic characteristics. 96 isolates were chosen for genetic characterization, what was done by analyzing of the β-tubulin gene and MSB1 minisatellite sequence.</w:t>
      </w:r>
      <w:r>
        <w:rPr>
          <w:color w:val="000000"/>
          <w:sz w:val="24"/>
          <w:szCs w:val="24"/>
        </w:rPr>
        <w:br/>
        <w:t xml:space="preserve">The main morphologic characteristic of Botrytis cinerea is the ability of sclerotium production. The high level of sclerotisation demonstrates the good adaption ability of Botrytis cinerea to the local environmental conditions. In the course of examination high variability was observed among the isolates in sclerotium formation and most of them produced sclerotium. There was no relation between the sclerotium appearing and different grape varieties but at the late sample collecting time sclerotial ability increased.</w:t>
      </w:r>
      <w:r>
        <w:rPr>
          <w:color w:val="000000"/>
          <w:sz w:val="24"/>
          <w:szCs w:val="24"/>
        </w:rPr>
        <w:br/>
        <w:t xml:space="preserve">In formerly studies high genetic variability was noticed on this territory, but now a lower genetic variability was determined, using those genetic markers which were suitable in earlier examinations. Contrary with earlier results, in the case of MSB1 minisatellite, a low allel number and variability was found. However there was identified one variant only in one isolate, which was also identified earlier but only in Tokaj wine region, as well from one isolate. The population seemed to be homogenous in connection with β-tubulin gene, only one point mutation was found in this gene.</w:t>
      </w:r>
      <w:r>
        <w:rPr>
          <w:color w:val="000000"/>
          <w:sz w:val="24"/>
          <w:szCs w:val="24"/>
        </w:rPr>
        <w:br/>
        <w:t xml:space="preserve">The genetic differentiation analysis did not show differences between the isolates from the two grape varieties but differences were presented between the sample collecting times. In the base of phenotypical and genotypical results presumably different botrytis populations take part in the course of noble rotting of grapevine.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18046">
    <w:multiLevelType w:val="hybridMultilevel"/>
    <w:lvl w:ilvl="0" w:tplc="73292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18046">
    <w:abstractNumId w:val="809180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177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