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STYEVKÓ CSILLA</w:t>
            </w:r>
          </w:p>
          <w:p w:rsidR="00C275A3" w:rsidRDefault="00A96AEC" w:rsidP="00C275A3">
            <w:pPr>
              <w:pStyle w:val="Hallgatokepzes"/>
            </w:pPr>
            <w:r>
              <w:t>Biomérnök</w:t>
            </w:r>
            <w:r>
              <w:br/>
            </w:r>
            <w:r w:rsidR="00E77B23">
              <w:t>BSc, 5. félév</w:t>
            </w:r>
          </w:p>
          <w:p w:rsidR="00C265CE" w:rsidRPr="009E5FF1" w:rsidRDefault="00E77B23" w:rsidP="00C275A3">
            <w:pPr>
              <w:pStyle w:val="Hallgatokepzes"/>
              <w:rPr>
                <w:b/>
                <w:caps/>
              </w:rPr>
            </w:pPr>
            <w:r>
              <w:t>Budapesti Corvinus Egyetem</w:t>
            </w:r>
            <w:r w:rsidR="00C275A3">
              <w:br/>
            </w:r>
            <w:r w:rsidR="00DB4822">
              <w:t>Élelmiszertudományi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Nguyen Duc Quang</w:t>
            </w:r>
          </w:p>
          <w:p w:rsidR="00DB4822" w:rsidRDefault="00DB4822" w:rsidP="00E11062">
            <w:pPr>
              <w:pStyle w:val="Konzulensek"/>
            </w:pPr>
            <w:r w:rsidRPr="00DB4822">
              <w:t>egyetemi docens, BCE ÉTK</w:t>
            </w:r>
          </w:p>
        </w:tc>
      </w:tr>
      <w:tr w:rsidR="00DB4822" w:rsidTr="00DB4822">
        <w:tc>
          <w:tcPr>
            <w:tcW w:w="9854" w:type="dxa"/>
          </w:tcPr>
          <w:p w:rsidR="00DB4822" w:rsidRPr="00DB4822" w:rsidRDefault="00DB4822" w:rsidP="004D7940">
            <w:pPr>
              <w:pStyle w:val="Konzulensek"/>
            </w:pPr>
            <w:r w:rsidRPr="00DB4822">
              <w:t>Styevkó Gabriella</w:t>
            </w:r>
          </w:p>
          <w:p w:rsidR="00DB4822" w:rsidRDefault="00DB4822" w:rsidP="00E11062">
            <w:pPr>
              <w:pStyle w:val="Konzulensek"/>
            </w:pPr>
            <w:r w:rsidRPr="00DB4822">
              <w:t>PhD hallgató,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Pectinex ultra enzimkészítmény transzglikozil aktivitásának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oligoszacharidok (OS-ok) fontos szerepet játszanak számos biológiai folyamatban valamint az iparban is széleskörűen alkalmazhatók, ami főként szerkezeti diverzitásuknak köszönhető. Évtizedek óta intenzív kutatások folynak előállításuk és tulajdonságaik vizsgálatával kapcsolatban, azonban számos kérdés még megválaszolatlan maradt pl. a különböző transzglikoziláz aktivitások révén létrejövő OS-ok szerkezetének és funkciójának meghatározása. A témához kapcsolódóan TDK munkámban a Pectinex ultra SP-L enzimkészítmény különböző transzglikoziláz aktivitásainak vizsgálatát tűztem ki célul és az alábbi feladatokat fogalmaztam meg: a Pectinex ultra β-fruktofuranozidáz és β-galaktozidáz aktivitásának meghatározása, lehetséges biszubsztrátum rendszerek vizsgálata a fruktozil-transzferáz és a β-galaktozidáz enzimek akceptor specifitásának megismerése céljából, az optimális donor:akceptor arány meghatározása illetve a kezdeti szubsztrátum koncentráció hatásának vizsgálata a transzferáz aktivitásra.</w:t>
      </w:r>
      <w:r>
        <w:rPr>
          <w:color w:val="000000"/>
          <w:sz w:val="24"/>
          <w:szCs w:val="24"/>
        </w:rPr>
        <w:br/>
        <w:t xml:space="preserve">Megállapítottam, hogy a Pectinex katalizál glikozil-transzfer reakciókat különböző mono- és biszubsztrátum rendszerekben. Az enzimkészítmény fruktozil-transzferáz és galaktozil-transzferáz aktivitása mellett képes a maltózt hidrolizálni illetve glükozil-transzfer reakciót katalizálni (maltózról maltózra) így malto-oligoszacharidot előállítani. Maltóz:szacharóz biszubsztrátum esetében új típusú oligoszacharidot detektáltam. Megállapítottam, hogy a maltóz:szacharóz optimális aránya 1:9. Ezzel a kombinációval 0,61 g/100ml OS koncentrációt értem el. Meghatároztam az optimális szénhidrát koncentrációt is. Maltóz szacharóz 1:9 arányú kombinációja esetén az optimális szubsztrátum tartalom 60 g/100ml volt. Ebben az esetben 4,02 g/100ml OS koncentrációt értem el, mely kétszerese volt a szacharóz kontrol mintában elért DP3 tartalomhoz képest. E szénhidrát-koncentrációt alkalmazva maltóz esetében nem detektáltam oligoszacharid szintézist. Következtetésként elmondható, hogy a maltóz:szacharóz 1:9 arányú kombinációjával, 60 g/100ml kiinduló szénhidrát koncentrációt alkalmazva olyan fruktozil-transzfer reakció megy végbe, melyben a szacharóz mellett a maltóz is akceptorként vesz részt így szintetizálva új oligoszacharidot, fruktozil-maltózt.</w:t>
      </w:r>
      <w:r>
        <w:rPr>
          <w:color w:val="000000"/>
          <w:sz w:val="24"/>
          <w:szCs w:val="24"/>
        </w:rPr>
        <w:br/>
        <w:t xml:space="preserve">Elért eredményeim ígéretesnek tűnnek és utat nyithatnak új oligoszacharid szintézis technológia kidolgozására.</w:t>
      </w:r>
      <w:r>
        <w:rPr>
          <w:color w:val="000000"/>
          <w:sz w:val="24"/>
          <w:szCs w:val="24"/>
        </w:rPr>
        <w:br/>
        <w:t xml:space="preserve">*</w:t>
      </w:r>
      <w:r>
        <w:rPr>
          <w:color w:val="000000"/>
          <w:sz w:val="24"/>
          <w:szCs w:val="24"/>
        </w:rPr>
        <w:br/>
        <w:t xml:space="preserve">Kutatómunkám TÁMOP-4.2.1./B-09/1-KMR-2010-0005 és TÁMOP-4.2.2/B-10/1-2010-0023, valamint TECH_09-A3-2009-0194 projektek támogatják.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577589">
    <w:multiLevelType w:val="hybridMultilevel"/>
    <w:lvl w:ilvl="0" w:tplc="346718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577589">
    <w:abstractNumId w:val="985775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35738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