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JUDIT HARANGOZÓ</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Balázs Kölcseyné</w:t>
            </w:r>
          </w:p>
          <w:p w:rsidR="00DB4822" w:rsidRDefault="00DB4822" w:rsidP="00E11062">
            <w:pPr>
              <w:pStyle w:val="Konzulensek"/>
            </w:pPr>
            <w:r w:rsidRPr="00DB4822">
              <w:t>professor's assistant,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Cultural equality? Facilities for disabled in Békés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would like to present the cultural opportunities and possibilities of the disabled people, among them the physically, visually handicapped and the hearing impaired. The topic of my choice - besides my personal involvement - has also social actuality. In the first part of my work, based on the medical literature, I emphasize the opportunities in Hungary which are available for the disabled. These services provided by cultural institutions and non-governmental organizations are available primarily in Budapest.</w:t>
      </w:r>
    </w:p>
    <w:p>
      <w:pPr>
        <w:widowControl w:val="on"/>
        <w:pBdr/>
        <w:spacing w:before="240" w:after="240" w:line="240" w:lineRule="auto"/>
        <w:ind w:left="0" w:right="0"/>
        <w:jc w:val="left"/>
      </w:pPr>
      <w:r>
        <w:rPr>
          <w:color w:val="000000"/>
          <w:sz w:val="24"/>
          <w:szCs w:val="24"/>
        </w:rPr>
        <w:t xml:space="preserve">As I live in Békés County, I am interested in the possibilities the disabled people can take in the area. Therefore, I have done research in the Békés County Association of Persons with Disability, the Békés County Association of the Blind and Visually Impaired, and the Békés County Association of Hungarian Association of the Deaf and Hard of Hearing. The results of my research, experiences, and suggestions will be explained in the second part of my work.</w:t>
      </w:r>
    </w:p>
    <w:p>
      <w:pPr>
        <w:widowControl w:val="on"/>
        <w:pBdr/>
        <w:spacing w:before="240" w:after="240" w:line="240" w:lineRule="auto"/>
        <w:ind w:left="0" w:right="0"/>
        <w:jc w:val="left"/>
      </w:pPr>
      <w:r>
        <w:rPr>
          <w:color w:val="000000"/>
          <w:sz w:val="24"/>
          <w:szCs w:val="24"/>
        </w:rPr>
        <w:t xml:space="preserve">In my dissertation, I mainly require to highlight the fact that, unfortunately, today there are fewer opportunities in the countryside, where the people with disabilities need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95257">
    <w:multiLevelType w:val="hybridMultilevel"/>
    <w:lvl w:ilvl="0" w:tplc="64261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95257">
    <w:abstractNumId w:val="29295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639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