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PÁPISTA ZSOLT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Bogner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módbeli segédigék kontrasztív elemzése német-magyar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munkának témája a módbeli segédigék kontrasztív elemzése német-magyar viszonylatban. Célja, hogy összehasonlító módszer által feltárja, miként viselkednek, illetve milyen formákba alakulnak át a német segédigék a magyarra való fordítás folyamán. Ez a téma kimondottan érdekes, mivel a magyar és a német két genetikailag nem roknítható nyelv, azaz teljesen más morfoszintaktikai szabályok jellemzőek mindkettőre. A grammatikai modell, amelyre a munka támaszkodik Gerhard Helbig és Joachim Buscha „Leitfaden der deutschen Grammatik” című nyelvtana.</w:t>
      </w:r>
      <w:r>
        <w:rPr>
          <w:color w:val="000000"/>
          <w:sz w:val="24"/>
          <w:szCs w:val="24"/>
        </w:rPr>
        <w:br/>
        <w:t xml:space="preserve">A munka először általános bevezetést nyújt a módbeli segédigekről, majd áttér a kidolgozásra. A kidolgozás strukturája a következő: Korpuszként szolgál Thomas Mann „Der Zauberberg” című műve az eredeti német nyelvű változatában és ugyanennek a műnek a magyar fordítása, amit Szőllősy Klára fordított le. Az eredeti változatnak első 75 oldalából kikerestem azokat a mondatokat, melyekben módbeli segédige szerepel, majd párhuzamosan ezzel kikerestem a magyar fordításból ezeknek a mondatoknak a megfelelőit. A párosított mondatokat felosztottam az adott segédige igealakjai és jelentéskörei szerint, hogy kivizsgáljam, milyen módon hatnak ki (illetve kihatnak-e) ezek az adott segédigének a magyar fordításban megjelenő formájára. A kiválasztott korpuszban nem lehetett minden segédigének minden igealakjára és jelentéskörére példát találni. Ezeket a következőképpen jelöltem: „(A korpuszban nem volt rá példa.)” Minden segédigénél a korpuszban szereplő példák után a megfigyeléseimet feltűntettem. Ezek a megfigyelések nem általános érvényű szabályszerűségeket képviselnek, csupán a korpuszban meglévő példákból megfigyelés alapján levont következtetéseket.</w:t>
      </w:r>
      <w:r>
        <w:rPr>
          <w:color w:val="000000"/>
          <w:sz w:val="24"/>
          <w:szCs w:val="24"/>
        </w:rPr>
        <w:br/>
        <w:t xml:space="preserve">A levont következtetések rendszerezése és azok összevetése a német módbeli segédigék rendszerével kimutatja, hogy miben azonos és miben eltérő a két nyelvben a módbeli segédigék használata.</w:t>
      </w:r>
      <w:r>
        <w:rPr>
          <w:color w:val="000000"/>
          <w:sz w:val="24"/>
          <w:szCs w:val="24"/>
        </w:rPr>
        <w:br/>
        <w:t xml:space="preserve">A német módbeli segédigék nagyon sok esetben helyettesíthetőek nekik megfelelő magyar módbeli segédigeszerű szavakkal, amennyiben az nem ütközik a magyar nyelv szellemével. Viszont egyes esetekben, ahol ez nem lehetséges, a módbeli segédige szerepét a magyarban gyakran átvehetik más morfológiai formák. Továbbá a megfigyelések azt is mutatják, hogy az objektív és szubjektív modalitások, valamint az igealak is némi kihatást gyakorolhatnak a fordítási lehetőségekre.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99870">
    <w:multiLevelType w:val="hybridMultilevel"/>
    <w:lvl w:ilvl="0" w:tplc="65817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99870">
    <w:abstractNumId w:val="92399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506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