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SAROLTA KULCSÁR</w:t>
            </w:r>
          </w:p>
          <w:p w:rsidR="00C275A3" w:rsidRDefault="00A96AEC" w:rsidP="00C275A3">
            <w:pPr>
              <w:pStyle w:val="Hallgatokepzes"/>
            </w:pPr>
            <w:r>
              <w:t>Teacher</w:t>
            </w:r>
            <w:r>
              <w:br/>
            </w:r>
            <w:r w:rsidR="00E77B23">
              <w:t>BA, 7. semester</w:t>
            </w:r>
          </w:p>
          <w:p w:rsidR="00C265CE" w:rsidRPr="009E5FF1" w:rsidRDefault="00E77B23" w:rsidP="00C275A3">
            <w:pPr>
              <w:pStyle w:val="Hallgatokepzes"/>
              <w:rPr>
                <w:b/>
                <w:caps/>
              </w:rPr>
            </w:pPr>
            <w:r>
              <w:t>University of Novi Sad</w:t>
            </w:r>
            <w:r w:rsidR="00C275A3">
              <w:br/>
            </w:r>
            <w:r w:rsidR="00DB4822">
              <w:t>Hungarian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Éva Hózsa</w:t>
            </w:r>
          </w:p>
          <w:p w:rsidR="00DB4822" w:rsidRDefault="00DB4822" w:rsidP="00E11062">
            <w:pPr>
              <w:pStyle w:val="Konzulensek"/>
            </w:pPr>
            <w:r w:rsidRPr="00DB4822">
              <w:t>regular professor, ÚE</w:t>
            </w:r>
          </w:p>
        </w:tc>
      </w:tr>
      <w:tr w:rsidR="00DB4822" w:rsidTr="00DB4822">
        <w:tc>
          <w:tcPr>
            <w:tcW w:w="9854" w:type="dxa"/>
          </w:tcPr>
          <w:p w:rsidR="00DB4822" w:rsidRPr="00DB4822" w:rsidRDefault="00DB4822" w:rsidP="004D7940">
            <w:pPr>
              <w:pStyle w:val="Konzulensek"/>
            </w:pPr>
            <w:r w:rsidRPr="00DB4822">
              <w:t>Judit Raffai</w:t>
            </w:r>
          </w:p>
          <w:p w:rsidR="00DB4822" w:rsidRDefault="00DB4822" w:rsidP="00E11062">
            <w:pPr>
              <w:pStyle w:val="Konzulensek"/>
            </w:pPr>
            <w:r w:rsidRPr="00DB4822">
              <w:t>docent,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 “GÖMBÖC” – VISIONS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Folk tale is a kind of literary work which wonderful details make closed system because there are the ancient folk beliefs, customs and ancient memories of old images of the world around us. Folk tales speak about the past, present and the everyday life of a people, as well as honest and a true desirability for life.</w:t>
      </w:r>
    </w:p>
    <w:p>
      <w:pPr>
        <w:pBdr/>
        <w:spacing w:before="240" w:after="240" w:line="240" w:lineRule="auto"/>
        <w:ind w:left="0" w:right="0"/>
        <w:jc w:val="left"/>
      </w:pPr>
      <w:r>
        <w:rPr>
          <w:color w:val="000000"/>
          <w:sz w:val="24"/>
          <w:szCs w:val="24"/>
        </w:rPr>
        <w:t xml:space="preserve">In the folk tale „A kis gömböc“ may be easy to conclude that in this article not only fable becomes important - but there is much more than that. This is reflected in the fact that the tale can be interpreted in several ways, from multiple angles.</w:t>
      </w:r>
    </w:p>
    <w:p>
      <w:pPr>
        <w:pBdr/>
        <w:spacing w:before="240" w:after="240" w:line="240" w:lineRule="auto"/>
        <w:ind w:left="0" w:right="0"/>
        <w:jc w:val="left"/>
      </w:pPr>
      <w:r>
        <w:rPr>
          <w:color w:val="000000"/>
          <w:sz w:val="24"/>
          <w:szCs w:val="24"/>
        </w:rPr>
        <w:t xml:space="preserve">My work is based on an ethnographic approach to the folk tale „A kis gömböc“, comparison with the Transylvanian gypsy fairy tale "A gömböcfiú" and „A kis gömböc“, with the novels „Gömböc“ by Guy de Maupassant, anddeals with the approach of „gömb(öc) gödeli–escheri“ issue.</w:t>
      </w:r>
    </w:p>
    <w:p>
      <w:pPr>
        <w:pBdr/>
        <w:spacing w:before="240" w:after="240" w:line="240" w:lineRule="auto"/>
        <w:ind w:left="0" w:right="0"/>
        <w:jc w:val="left"/>
      </w:pPr>
      <w:r>
        <w:rPr>
          <w:color w:val="000000"/>
          <w:sz w:val="24"/>
          <w:szCs w:val="24"/>
        </w:rPr>
        <w:t xml:space="preserve">But really, what is „gömböc“? Actor of folk tales, the heroine of a novel, or a new geometrical form? Courage can say that all three!</w:t>
      </w:r>
    </w:p>
    <w:p>
      <w:pPr>
        <w:pBdr/>
        <w:spacing w:before="240" w:after="240" w:line="240" w:lineRule="auto"/>
        <w:ind w:left="0" w:right="0"/>
        <w:jc w:val="left"/>
      </w:pPr>
      <w:r>
        <w:rPr>
          <w:color w:val="000000"/>
          <w:sz w:val="24"/>
          <w:szCs w:val="24"/>
        </w:rPr>
        <w:t xml:space="preserve">Key words: folk tale, gömböc (noodle), gömb (ball)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790455">
    <w:multiLevelType w:val="hybridMultilevel"/>
    <w:lvl w:ilvl="0" w:tplc="568063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790455">
    <w:abstractNumId w:val="317904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5452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