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NAGY</w:t>
            </w:r>
          </w:p>
          <w:p w:rsidR="00C275A3" w:rsidRDefault="00A96AEC" w:rsidP="00C275A3">
            <w:pPr>
              <w:pStyle w:val="Hallgatokepzes"/>
            </w:pPr>
            <w:r>
              <w:t>Medicine</w:t>
            </w:r>
            <w:r>
              <w:br/>
            </w:r>
            <w:r w:rsidR="00E77B23">
              <w:t>BSc, 5. semester</w:t>
            </w:r>
          </w:p>
          <w:p w:rsidR="00C265CE" w:rsidRPr="009E5FF1" w:rsidRDefault="00E77B23" w:rsidP="00C275A3">
            <w:pPr>
              <w:pStyle w:val="Hallgatokepzes"/>
              <w:rPr>
                <w:b/>
                <w:caps/>
              </w:rPr>
            </w:pPr>
            <w:r>
              <w:t>University of Novi Sad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Olivier Heck M.D.</w:t>
            </w:r>
          </w:p>
          <w:p w:rsidR="00DB4822" w:rsidRDefault="00DB4822" w:rsidP="00E11062">
            <w:pPr>
              <w:pStyle w:val="Konzulensek"/>
            </w:pPr>
            <w:r w:rsidRPr="00DB4822">
              <w:t>resident physician,  IADI, CHU Brabois, Nancy, France</w:t>
            </w:r>
          </w:p>
        </w:tc>
      </w:tr>
      <w:tr w:rsidR="00DB4822" w:rsidTr="00DB4822">
        <w:tc>
          <w:tcPr>
            <w:tcW w:w="9854" w:type="dxa"/>
          </w:tcPr>
          <w:p w:rsidR="00DB4822" w:rsidRPr="00DB4822" w:rsidRDefault="00DB4822" w:rsidP="004D7940">
            <w:pPr>
              <w:pStyle w:val="Konzulensek"/>
            </w:pPr>
            <w:r w:rsidRPr="00DB4822">
              <w:t>Gabriela Hossu</w:t>
            </w:r>
          </w:p>
          <w:p w:rsidR="00DB4822" w:rsidRDefault="00DB4822" w:rsidP="00E11062">
            <w:pPr>
              <w:pStyle w:val="Konzulensek"/>
            </w:pPr>
            <w:r w:rsidRPr="00DB4822">
              <w:t>research fellow,  IADI, CHU Brabois, Nancy, France</w:t>
            </w:r>
          </w:p>
        </w:tc>
      </w:tr>
      <w:tr w:rsidR="00DB4822" w:rsidTr="00DB4822">
        <w:tc>
          <w:tcPr>
            <w:tcW w:w="9854" w:type="dxa"/>
          </w:tcPr>
          <w:p w:rsidR="00DB4822" w:rsidRPr="00DB4822" w:rsidRDefault="00DB4822" w:rsidP="004D7940">
            <w:pPr>
              <w:pStyle w:val="Konzulensek"/>
            </w:pPr>
            <w:r w:rsidRPr="00DB4822">
              <w:t>Ferenc Dujmovics M.D.</w:t>
            </w:r>
          </w:p>
          <w:p w:rsidR="00DB4822" w:rsidRDefault="00DB4822" w:rsidP="00E11062">
            <w:pPr>
              <w:pStyle w:val="Konzulensek"/>
            </w:pPr>
            <w:r w:rsidRPr="00DB4822">
              <w:t>professor,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Reproducibility of leukoaraiosis segmentation on FLAIR sequenced magnetic resonance scans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Leukoaraiosis is a disease of the cerebral white matter in aged individuals. It shows up as increased signal intensity on FLAIR sequences performed as part of magnetic resonance (MR) brain scans. Although the FLAIR sequence is the commonly used sequence for leukoaraiosis segmentation, it still seems to be a subjective method.</w:t>
      </w:r>
      <w:r>
        <w:rPr>
          <w:color w:val="000000"/>
          <w:sz w:val="24"/>
          <w:szCs w:val="24"/>
        </w:rPr>
        <w:br/>
        <w:t xml:space="preserve">The aim of the study was to investigate the inter-observer reproducibility of semi-automatic segmentation of leukoaraiosis plaques on FLAIR sequenced MR scans.</w:t>
      </w:r>
      <w:r>
        <w:rPr>
          <w:color w:val="000000"/>
          <w:sz w:val="24"/>
          <w:szCs w:val="24"/>
        </w:rPr>
        <w:br/>
        <w:t xml:space="preserve">10 MR brain scans were analyzed with the software “Segmentation Leukoaraiose Adelahyde” from the IADI laboratory. The segmentations were carried out by two observers in parallel. The volumes of the plaques estimated by the two observers were compared and statistically analyzed.</w:t>
      </w:r>
      <w:r>
        <w:rPr>
          <w:color w:val="000000"/>
          <w:sz w:val="24"/>
          <w:szCs w:val="24"/>
        </w:rPr>
        <w:br/>
        <w:t xml:space="preserve">There was a statistically significant difference (p&lt;0,05) between leukoaraiosis segmentations performed by the two observers independently.</w:t>
      </w:r>
      <w:r>
        <w:rPr>
          <w:color w:val="000000"/>
          <w:sz w:val="24"/>
          <w:szCs w:val="24"/>
        </w:rPr>
        <w:br/>
        <w:t xml:space="preserve">The leukoaraiosis segmentation on FLAIR sequenced MR scans seems to be not reproducible. So thus we have to find parameters more sensitive, reproducible and efficient in order to assess and predict brain aging. Other sequences like diffusion tensor imaging (DTI) seem to be promising, but needs more evaluation for its utilization in a daily practice.</w:t>
      </w:r>
    </w:p>
    <w:p>
      <w:pPr>
        <w:pBdr/>
        <w:spacing w:before="240" w:after="240" w:line="240" w:lineRule="auto"/>
        <w:ind w:left="0" w:right="0"/>
        <w:jc w:val="left"/>
      </w:pPr>
      <w:r>
        <w:rPr>
          <w:color w:val="000000"/>
          <w:sz w:val="24"/>
          <w:szCs w:val="24"/>
        </w:rPr>
        <w:t xml:space="preserve">Key words: leukoaraiosis, segmentation, MRI, FLAIR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31752">
    <w:multiLevelType w:val="hybridMultilevel"/>
    <w:lvl w:ilvl="0" w:tplc="56331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31752">
    <w:abstractNumId w:val="55231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325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