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BALOG</w:t>
            </w:r>
          </w:p>
          <w:p w:rsidR="00C275A3" w:rsidRDefault="00A96AEC" w:rsidP="00C275A3">
            <w:pPr>
              <w:pStyle w:val="Hallgatokepzes"/>
            </w:pPr>
            <w:r>
              <w:t>teacher</w:t>
            </w:r>
            <w:r>
              <w:br/>
            </w:r>
            <w:r w:rsidR="00E77B23">
              <w:t>BA, 7. semester</w:t>
            </w:r>
          </w:p>
          <w:p w:rsidR="00C265CE" w:rsidRPr="009E5FF1" w:rsidRDefault="00E77B23" w:rsidP="00C275A3">
            <w:pPr>
              <w:pStyle w:val="Hallgatokepzes"/>
              <w:rPr>
                <w:b/>
                <w:caps/>
              </w:rPr>
            </w:pPr>
            <w:r>
              <w:t>University of Novi Sad</w:t>
            </w:r>
            <w:r w:rsidR="00C275A3">
              <w:br/>
            </w:r>
            <w:r w:rsidR="00DB4822">
              <w:t>Hungarian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Samu</w:t>
            </w:r>
          </w:p>
          <w:p w:rsidR="00DB4822" w:rsidRDefault="00DB4822" w:rsidP="00E11062">
            <w:pPr>
              <w:pStyle w:val="Konzulensek"/>
            </w:pPr>
            <w:r w:rsidRPr="00DB4822">
              <w:t>faculty teaching assistant, ÚE Hungarian Teacher Training Faculty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,,Chronoabnormality" as a dominant characteristic of the organic system of disseminating menings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the paper is to define childhood in the light of the Dardenne brothers’ filmography. Their works illuminate the nuances of the many aspects of the study’s focus. The Child, The Kid with a Bike, Lorna’s Silence and The Son challenge the relational counterparts (child and adult, the self and the other, guilty and innocent) that stem from interpretation. Yet this does not blur the boundaries, rather, it pushes them and leads to the interchangeability of functions. The two-way approach to basic social issues is salient, which can be observed in the separation of childhood and society, there is nevertheless a connection between these seemingly isolated elements, as evidenced by the impotence and helplessness of the individuals.</w:t>
      </w:r>
    </w:p>
    <w:p>
      <w:pPr>
        <w:pBdr/>
        <w:spacing w:before="240" w:after="240" w:line="240" w:lineRule="auto"/>
        <w:ind w:left="0" w:right="0"/>
        <w:jc w:val="left"/>
      </w:pPr>
      <w:r>
        <w:rPr>
          <w:color w:val="000000"/>
          <w:sz w:val="24"/>
          <w:szCs w:val="24"/>
        </w:rPr>
        <w:t xml:space="preserve">The paper is mainly based on certain tenets of Jacques Lacan’s and Gilles Deleuze’s theories.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42587">
    <w:multiLevelType w:val="hybridMultilevel"/>
    <w:lvl w:ilvl="0" w:tplc="34146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42587">
    <w:abstractNumId w:val="98242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73693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