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ÉVA</w:t>
            </w:r>
          </w:p>
          <w:p w:rsidR="00C275A3" w:rsidRDefault="00A96AEC" w:rsidP="00C275A3">
            <w:pPr>
              <w:pStyle w:val="Hallgatokepzes"/>
            </w:pPr>
            <w:r>
              <w:t>Magyar</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Kusper Judit</w:t>
            </w:r>
          </w:p>
          <w:p w:rsidR="00DB4822" w:rsidRDefault="00DB4822" w:rsidP="00E11062">
            <w:pPr>
              <w:pStyle w:val="Konzulensek"/>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"Hisz nem is én vagyok csak magam" (A szubjektum manifesztálódásának lehetőségei a Szent István-drámák tükrében [Katona József: István, a magyarok első királya, Boldizsár Miklós: Ezredforduló, Sík Sándor: István király, Szász Károly: István vezér, Ratkó József: Segítsd a királyt!])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TDK-dolgozatomban a szubjektum manifesztálódásának lehetőségeit kutatom a Szent István-drámák tükrében, az alábbi művekre koncentrálva: Katona József: István, a magyarok első királya, Boldizsár Miklós: Ezredforduló, Sík Sándor: István király, Szász Károly: István vezér, Ratkó József: Segítsd a királyt!. Dolgozatom első nagy egysége tartalmazza a téma indoklását, illetve egy elméleti hátteret, melyben Kant és Foucault szubjektumfelfogását vizsgáltam meg.</w:t>
      </w:r>
      <w:r>
        <w:rPr>
          <w:color w:val="000000"/>
          <w:sz w:val="24"/>
          <w:szCs w:val="24"/>
        </w:rPr>
        <w:br/>
        <w:t xml:space="preserve">Ezek után következik az István, a magyarok első királyának elemzése, mely a dolgozatom fő egységét képezi, hiszen elvégzem e dráma szoros szövegolvasását is. Korábban, a Bánk bán kapcsán már valamelyest megismerkedtem Katona szubjektumfelfogásával, azonban míg a Bánk bánról elmondható, hogy egy túlkanonizált mű, addig Katona egyéb drámái kiesnek irodalmi kánonunkból. Ezért munkám során igyekeztem azt bebizonyítani, hogy Katona József nem csak egyműves szerző. Ahhoz, hogy jobban megismerjem Katona József munkásságát, elsősorban Bíró Ferenc nagymonográfiáját és Waldapfel József Katona József című könyvét használtam fel. Az István, a magyarok első királyában fontos szerepe van a vallásnak és az igazságnak. A hit kapcsán főleg Jung nézeteit hívtam segítségül, az igazságok kérdésénél pedig Thomas S. Kuhn A tudományos forradalmak szerkezete című művét használtam fel. Végül megvizsgáltam még a műben megjelenő szimbólumokat is, melyek később támaszt adtak számomra az intertextuális kapcsolatok vizsgálatakor.</w:t>
      </w:r>
      <w:r>
        <w:rPr>
          <w:color w:val="000000"/>
          <w:sz w:val="24"/>
          <w:szCs w:val="24"/>
        </w:rPr>
        <w:br/>
        <w:t xml:space="preserve">Dolgozatom további részében elemzem a többi Szent István-drámát. Ahhoz azonban, hogy elvégezzem az István, a magyarok első királyának szoros szövegolvasását, szükségem volt az intertextualitás elméleti hátterére. Ehhez Genette Transztextualitás című tanulmányát és Kulcsár–Szabó Zoltán Intertextualitás: létmód és/vagy funkció?című munkáját használtam fel. Kulcsár–Szabó azt mondja, a műalkotások témaanyag, motívum- vagy jelképtörténet révén is kapcsolatba kerülhetnek egymással. Ez lesz igazán fontos a Szent István-drámáknál, hiszen a műveknek nagyon hasonló a témája; számos közös jelkép is megjelenik. Ami azonban a legrelevánsabb összekötő elem, az István szubjektuma, és az, hogy mindegyik drámában Vajkként és Istvánként is létezik, majd végül mindig István lesz az, aki felülkerekedik benne. Úgy vélem, a Szent István-drámák kutatása irodalmunkban máig feltáratlan terület. Remélem, munkám során sikerült azt is bizonyítanom, hogy Katona József nem csak a Bánk bán szerzője, és szubjektumfelfogása ma is időszerű.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29838">
    <w:multiLevelType w:val="hybridMultilevel"/>
    <w:lvl w:ilvl="0" w:tplc="61017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29838">
    <w:abstractNumId w:val="51429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956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