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ISTVÁN ADAMIK</w:t>
            </w:r>
          </w:p>
          <w:p w:rsidR="00C275A3" w:rsidRDefault="00A96AEC" w:rsidP="00C275A3">
            <w:pPr>
              <w:pStyle w:val="Hallgatokepzes"/>
            </w:pPr>
            <w:r>
              <w:t>teacher of Hungarian language and literature - teacher of religious  (Master)</w:t>
            </w:r>
            <w:r>
              <w:br/>
            </w:r>
            <w:r w:rsidR="00E77B23">
              <w:t>MA,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Bíró, dr.</w:t>
            </w:r>
          </w:p>
          <w:p w:rsidR="00DB4822" w:rsidRDefault="00DB4822" w:rsidP="00E11062">
            <w:pPr>
              <w:pStyle w:val="Konzulensek"/>
            </w:pPr>
            <w:r w:rsidRPr="00DB4822">
              <w:t>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Introduction of the archaic features of the ‘palóc’ dialect through teaching the variants of Hungarian grammar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My previous TDK-experience helped with the thematic planning of my composition. I would like to accentuate methodical aspects instead of examining dialectical distinctiveness. In this, the role of teaching the variants of Hungarian grammar, the importance of dialects and the notion of regional language dialects arise as well. Broadening my previous angle of aspects and using some of the new scopes, I am trying to implement the exploration of novel possibilities of educational segments connected to language dialects.</w:t>
      </w:r>
      <w:r>
        <w:rPr>
          <w:color w:val="000000"/>
          <w:sz w:val="24"/>
          <w:szCs w:val="24"/>
        </w:rPr>
        <w:br/>
        <w:t xml:space="preserve">In the first part of my study, I examin the scope of educational material offered by textbooks and the curriculum, highlighting the notional approaches of regional dialects. Following this, I try to focus on methodical aspects. How can knowledge acquisition about dialects be realized extracurricularly?</w:t>
      </w:r>
      <w:r>
        <w:rPr>
          <w:color w:val="000000"/>
          <w:sz w:val="24"/>
          <w:szCs w:val="24"/>
        </w:rPr>
        <w:br/>
        <w:t xml:space="preserve">The following parts of the study are written based on this point of view. The beauties of study circles, studying in groups and teaching dialect research will come into focus as well. We cannot neglect the variety of ICT tools and the possibilities offered by them. So will the aim of my study implement, according to which examining language levels helps students’ systematic aspects of the language itself and they can realize that any dialect is a value, which should be appreciated.</w:t>
      </w:r>
      <w:r>
        <w:rPr>
          <w:color w:val="000000"/>
          <w:sz w:val="24"/>
          <w:szCs w:val="24"/>
        </w:rPr>
        <w:br/>
        <w:t xml:space="preserve">In my work, I intend to attain a pedagogical concept, with which I can introduce how I conceive teaching dialectical features through a specific dialect (‘palóc’). Of course, I do not leave the importance of didactic features out of consideration, so motivation itself and the scope of demonstration should also be involved in my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731366">
    <w:multiLevelType w:val="hybridMultilevel"/>
    <w:lvl w:ilvl="0" w:tplc="11425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731366">
    <w:abstractNumId w:val="777313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25375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