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DÁVID</w:t>
            </w:r>
          </w:p>
          <w:p w:rsidR="00C275A3" w:rsidRDefault="00A96AEC" w:rsidP="00C275A3">
            <w:pPr>
              <w:pStyle w:val="Hallgatokepzes"/>
            </w:pPr>
            <w:r>
              <w:t>Pedagógiatanár - Történelemtanár</w:t>
            </w:r>
            <w:r>
              <w:br/>
            </w:r>
            <w:r w:rsidR="00E77B23">
              <w:t>MA, 1. félév</w:t>
            </w:r>
          </w:p>
          <w:p w:rsidR="00C265CE" w:rsidRPr="009E5FF1" w:rsidRDefault="00E77B23" w:rsidP="00C275A3">
            <w:pPr>
              <w:pStyle w:val="Hallgatokepzes"/>
              <w:rPr>
                <w:b/>
                <w:caps/>
              </w:rPr>
            </w:pPr>
            <w:r>
              <w:t>Eszterházy Károly Főiskola</w:t>
            </w:r>
            <w:r w:rsidR="00C275A3">
              <w:br/>
            </w:r>
            <w:r w:rsidR="00DB4822">
              <w:t>Tanárképzési és Tudástechnológiai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Vincze Beatrix</w:t>
            </w:r>
          </w:p>
          <w:p w:rsidR="00DB4822" w:rsidRDefault="00DB4822" w:rsidP="00E11062">
            <w:pPr>
              <w:pStyle w:val="Konzulensek"/>
            </w:pPr>
            <w:r w:rsidRPr="00DB4822">
              <w:t>főiskolai docens,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polgári iskola műveltségformáló szerepe Törökszentmiklóson a Horthy-korszakban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polgári iskola műveltségformáló szerepe Törökszentmiklóson a Horthy-korszakban</w:t>
      </w:r>
    </w:p>
    <w:p>
      <w:pPr>
        <w:widowControl w:val="on"/>
        <w:pBdr/>
        <w:spacing w:before="240" w:after="240" w:line="240" w:lineRule="auto"/>
        <w:ind w:left="0" w:right="0"/>
        <w:jc w:val="left"/>
      </w:pPr>
      <w:r>
        <w:rPr>
          <w:color w:val="000000"/>
          <w:sz w:val="24"/>
          <w:szCs w:val="24"/>
        </w:rPr>
        <w:t xml:space="preserve">Kutatás témája Törökszentmiklós oktatási, kulturális helyzete az 1920-1940-es évek között. A dolgozat választ keres arra, hogy gróf Klebelsberg Kuno kultuszminiszter reformjai az oktatásban, hogyan hatottak Törökszentmiklós életére? Különös tekintettel a Polgári Fiúiskola létrejöttére, működésére, társadalomformáló szerepére és sikerességének vizsgálatára. Hogyan és milyen hatékonysággal sikerült visszaszorítani az analfabetizmust? Milyen eszközökkel sikerült megteremteni a helyi értelmiséget?</w:t>
      </w:r>
      <w:r>
        <w:rPr>
          <w:color w:val="000000"/>
          <w:sz w:val="24"/>
          <w:szCs w:val="24"/>
        </w:rPr>
        <w:br/>
        <w:t xml:space="preserve">A dolgozat bemutatja a polgári iskolák helyét és szerepét ebben a Trianon utáni új oktatási rendszerben. Kiemeli Klebelsberg Kunó kultuszminiszter főbb nevelési célkitűzéseit, mivel az ő tevékenysége a magyar oktatásügy egyik fénykorát jelentette. Klebelsberg oktatáspolitikai elképzeléseit a trianoni béke határozta meg, fel kellett építenie egy romokban heverő ország oktatásügyét, kiutat, reményt kell adnia az ország újjászületéséhez. Az elmaradott országrészeken, így az Alföldön, lakóhelyemen, Törökszentmiklóson is, meg kellett szervezni a leszakadó társadalmi csoportok iskoláztatását, fel kellett számolni az analfabetizmust. Ezért több ezer főleg tanyasi iskolát építtetett országszerte. A középfokú oktatás erősítésével emelni kell a magyar polgárság műveltségét, szakképzettségét.</w:t>
      </w:r>
      <w:r>
        <w:rPr>
          <w:color w:val="000000"/>
          <w:sz w:val="24"/>
          <w:szCs w:val="24"/>
        </w:rPr>
        <w:br/>
        <w:t xml:space="preserve">A korszak oktatáspolitikájának szakirodalma mellett, a korabeli helyi források feldolgozásával kívánom bemutatni a témát. Kiemelten nagy szerepet kap a korabeli Törökszentmiklós és vidéke című folyóiratnak, valamint a polgári iskola évkönyveinek a feldolgozása. A polgári iskola alapításának körülményeire, az új épületért folyó izgalmas harcra, melyet a helyi értelmiség vívott meg ebben a nehéz történelmi időszakban. A szerző képet kíván adni arról, miként működött maga az iskola, mit tanítottak, milyen műveltséget, valamint milyen további lehetőségeket adott a végzős tanulóknak.</w:t>
      </w:r>
      <w:r>
        <w:rPr>
          <w:color w:val="000000"/>
          <w:sz w:val="24"/>
          <w:szCs w:val="24"/>
        </w:rPr>
        <w:br/>
        <w:t xml:space="preserve">A sajtó, néhány tanár, illetve diák visszaemlékezésének és a rendelkezésre álló dokumentumok alapján szól a polgári iskola pozitív hatásairól.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41862">
    <w:multiLevelType w:val="hybridMultilevel"/>
    <w:lvl w:ilvl="0" w:tplc="54228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41862">
    <w:abstractNumId w:val="43541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9969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