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KUN</w:t>
            </w:r>
          </w:p>
          <w:p w:rsidR="00C275A3" w:rsidRDefault="00A96AEC" w:rsidP="00C275A3">
            <w:pPr>
              <w:pStyle w:val="Hallgatokepzes"/>
            </w:pPr>
            <w:r>
              <w:t>Baby- and child nurturer</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Hatvani</w:t>
            </w:r>
          </w:p>
          <w:p w:rsidR="00DB4822" w:rsidRDefault="00DB4822" w:rsidP="00E11062">
            <w:pPr>
              <w:pStyle w:val="Konzulensek"/>
            </w:pPr>
            <w:r w:rsidRPr="00DB4822">
              <w:t>associate professor ,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twin situation on the personality development of the child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twin research is a young discipline in Hungary. In the center of the studies there are biological features and the enviromental impact of various factors (personality traits, illnesses). Besides of these just few researches focused on the educational question of the twins. Therefore we decided to do a deeper study of the topic.</w:t>
      </w:r>
      <w:r>
        <w:rPr>
          <w:color w:val="000000"/>
          <w:sz w:val="24"/>
          <w:szCs w:val="24"/>
        </w:rPr>
        <w:br/>
        <w:t xml:space="preserve">From the extant technical literature well we can see, that in the case of the twins it is particularly important to ensure the opportunity to deploy their personality and indentity as separate persons and try to handle them not just as a unit. Maternal education can has a significant role in this. Accordingly we did examine the circumstances in which the mother does emphasise the differences or similarities between the twins. We were looking for the answers of the question, how can the maternal treatment influence the relation of twins and what is it’s effect on the unleashing of their individuality. In addition, we did examine the effect of dominance on the personality development and the relation between the twins in both situations, when they had same-sex, and different-sex.</w:t>
      </w:r>
      <w:r>
        <w:rPr>
          <w:color w:val="000000"/>
          <w:sz w:val="24"/>
          <w:szCs w:val="24"/>
        </w:rPr>
        <w:br/>
        <w:t xml:space="preserve">For our study we made structured interviews with mothers who has twin children. The results of our researches has been shown that the maternal treatment significantly determines the strength of attachment between twins. This factor makes it harder for twin children to unleash their individuality in some cases. Also it has been shown that in the situation of twin children with the same-sex, in treatment, to emphasize the similarities is making it more difficult to them to build their personalities.</w:t>
      </w:r>
      <w:r>
        <w:rPr>
          <w:color w:val="000000"/>
          <w:sz w:val="24"/>
          <w:szCs w:val="24"/>
        </w:rPr>
        <w:br/>
        <w:t xml:space="preserve">Our results may help parents, teachers, and educators to understand the coherency of this topic, and using the information of the study they will able to work out the most optimal educational methods for twin children.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58530">
    <w:multiLevelType w:val="hybridMultilevel"/>
    <w:lvl w:ilvl="0" w:tplc="29189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58530">
    <w:abstractNumId w:val="288585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262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