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APRÓ</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Dávid</w:t>
            </w:r>
          </w:p>
          <w:p w:rsidR="00DB4822" w:rsidRDefault="00DB4822" w:rsidP="00E11062">
            <w:pPr>
              <w:pStyle w:val="Konzulensek"/>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Taphonomy of vertebrate remains of Danitz puszta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Taphonomy of vertebrate remains have been investigated. The 2472 bones and bone fragments have been collected from the Pannonian age coarse grained sediments of Danitz-puszta quarry, situated at tha southern part of Transdanubia, in the vicinity of Pécs.</w:t>
      </w:r>
      <w:r>
        <w:rPr>
          <w:color w:val="000000"/>
          <w:sz w:val="24"/>
          <w:szCs w:val="24"/>
        </w:rPr>
        <w:br/>
        <w:t xml:space="preserve">One third of the examined material have been collected by the author, while the remaining part is kept in the collection of the Hungarian Geological and Geophysical Institute.</w:t>
      </w:r>
      <w:r>
        <w:rPr>
          <w:color w:val="000000"/>
          <w:sz w:val="24"/>
          <w:szCs w:val="24"/>
        </w:rPr>
        <w:br/>
        <w:t xml:space="preserve">The fossil material can be divided into two parts according to their age: a marine assemblage older than the sediments of the locality, and a terrestrial one younger than the formations of the quarry. The number of the examined marine fossils is 411, while this number in the case of the marine elements is 64. Due to the very poor state of preservation 1997 specimens couldn’t have been determined on higher level.</w:t>
      </w:r>
      <w:r>
        <w:rPr>
          <w:color w:val="000000"/>
          <w:sz w:val="24"/>
          <w:szCs w:val="24"/>
        </w:rPr>
        <w:br/>
        <w:t xml:space="preserve">First the size distribution of marine and terrestrial elements have been examined. The bones of the former marine animals are more rounded compared with the terrestrial ones.</w:t>
      </w:r>
      <w:r>
        <w:rPr>
          <w:color w:val="000000"/>
          <w:sz w:val="24"/>
          <w:szCs w:val="24"/>
        </w:rPr>
        <w:br/>
        <w:t xml:space="preserve">The further taphonomical observations can be divided into two parts.</w:t>
      </w:r>
      <w:r>
        <w:rPr>
          <w:color w:val="000000"/>
          <w:sz w:val="24"/>
          <w:szCs w:val="24"/>
        </w:rPr>
        <w:br/>
        <w:t xml:space="preserve">1 Processes between the decay and the burial of the animal.</w:t>
      </w:r>
      <w:r>
        <w:rPr>
          <w:color w:val="000000"/>
          <w:sz w:val="24"/>
          <w:szCs w:val="24"/>
        </w:rPr>
        <w:br/>
        <w:t xml:space="preserve">Signs of transportation, bioerosion, fracture, the rate of sphericity have been examined.</w:t>
      </w:r>
      <w:r>
        <w:rPr>
          <w:color w:val="000000"/>
          <w:sz w:val="24"/>
          <w:szCs w:val="24"/>
        </w:rPr>
        <w:br/>
        <w:t xml:space="preserve">Following the method of Behrensmeyer (1978) it was possible to rank the terrestrial bone fragments according to their four stage of decay. The fluvial transportation of the bones are proved by their shiny surface and the mode of fracture. Six types of bioerosion have been found. Breeding and feeding traces of necrophagous insects occurred both in the solid and both in the spongy parts of the bones. Biting traces of carnivores also occurred.</w:t>
      </w:r>
      <w:r>
        <w:rPr>
          <w:color w:val="000000"/>
          <w:sz w:val="24"/>
          <w:szCs w:val="24"/>
        </w:rPr>
        <w:br/>
        <w:t xml:space="preserve">2 Processes after the burial of the bones.</w:t>
      </w:r>
      <w:r>
        <w:rPr>
          <w:color w:val="000000"/>
          <w:sz w:val="24"/>
          <w:szCs w:val="24"/>
        </w:rPr>
        <w:br/>
        <w:t xml:space="preserve">The colour of the fossils ranged from the light yellowish to dark brown. It refers to the fact that the burial happened at different places and different times. The concentration and the migration of the iron and manganese content fluids changed from time to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28950">
    <w:multiLevelType w:val="hybridMultilevel"/>
    <w:lvl w:ilvl="0" w:tplc="67089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28950">
    <w:abstractNumId w:val="19628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6367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