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KATONA</w:t>
            </w:r>
          </w:p>
          <w:p w:rsidR="00C275A3" w:rsidRDefault="00A96AEC" w:rsidP="00C275A3">
            <w:pPr>
              <w:pStyle w:val="Hallgatokepzes"/>
            </w:pPr>
            <w:r>
              <w:t>Physiotherapy</w:t>
            </w:r>
            <w:r>
              <w:br/>
            </w:r>
            <w:r w:rsidR="00E77B23">
              <w:t>BSc, 7.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Suhajdáné Urbán PhD</w:t>
            </w:r>
          </w:p>
          <w:p w:rsidR="00DB4822" w:rsidRDefault="00DB4822" w:rsidP="00E11062">
            <w:pPr>
              <w:pStyle w:val="Konzulensek"/>
            </w:pPr>
            <w:r w:rsidRPr="00DB4822">
              <w:t>college 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Clinical and scientific aspects of the future therapeutic use of mesenchymal stem cells in the field of physiotherapy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Mesenchymal stromal cells (MSCs) are multipotent adult stem cells with unique characteristics that make them promising candidates in future therapies. MSCs have already been successfully used in several preclinical and clinical trials, however the exact molecular mechanisms underlying their therapeutic effects need to be determined before MSC-based therapy can be brought into routine clinical use.</w:t>
      </w:r>
      <w:r>
        <w:rPr>
          <w:color w:val="000000"/>
          <w:sz w:val="24"/>
          <w:szCs w:val="24"/>
        </w:rPr>
        <w:br/>
        <w:t xml:space="preserve">We aimed to survey what anatomical origin of the cells are used recently by MSC-based clinical trials and also to study what proportion of these trials was aimed to treat musculoskeletal disorders. By using professional software we also re-analysed data from an already published study that compares the gene expression profile of MSCs isolated from young and adult mice. We were hoping to uncover new consequences on the optimal donor age that could also prove to be useful in future human therapies.</w:t>
      </w:r>
      <w:r>
        <w:rPr>
          <w:color w:val="000000"/>
          <w:sz w:val="24"/>
          <w:szCs w:val="24"/>
        </w:rPr>
        <w:br/>
        <w:t xml:space="preserve">Methods: We analysed online available data by computer in silico, with the so called „dry lab” bioinformatic method, seeking still unexplored connections. We used Clinical Trials and PubMed databases and Ingenuity Pathway Analysis software.</w:t>
      </w:r>
      <w:r>
        <w:rPr>
          <w:color w:val="000000"/>
          <w:sz w:val="24"/>
          <w:szCs w:val="24"/>
        </w:rPr>
        <w:br/>
        <w:t xml:space="preserve">Results: We established that close to one third (31%) of all clinical trials using MSCs to treat musculoskeletal disorders, in most cases (22%) osteoarthritis. The majority of the clinical trials (42%) used bone marrow derived MSCs. In silico analysis of the gene expression data on young and adult bone marrow MSCs revealed that transcription of several genes involved in the alkaline phosphatase activation pathway or associated with tumour formation increased with the donor’s age.</w:t>
      </w:r>
      <w:r>
        <w:rPr>
          <w:color w:val="000000"/>
          <w:sz w:val="24"/>
          <w:szCs w:val="24"/>
        </w:rPr>
        <w:br/>
        <w:t xml:space="preserve">From the 81 genes that were upregulated, 61 could be associated with cancer and 8 were alkaline phosphatase activation related.</w:t>
      </w:r>
      <w:r>
        <w:rPr>
          <w:color w:val="000000"/>
          <w:sz w:val="24"/>
          <w:szCs w:val="24"/>
        </w:rPr>
        <w:br/>
        <w:t xml:space="preserve">Conclusion: Our survey of the current clinical trials suggests that new MSC based therapies are about to be introduced in the field of physiotherapy. Bone-marrow was the most commonly reported MSC source in. Gene expression changes in the bone-marrow derived MSCs of older donors indicate a higher possibility of tumour formation. At the same time increased alkaline phosphatase activity was observed, which is the characteristic of MSCs committed towards osteogenic differentiation. We can conclude that the younger the bone marrow-derived cells, the more suitable for medical purposes they 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06191">
    <w:multiLevelType w:val="hybridMultilevel"/>
    <w:lvl w:ilvl="0" w:tplc="19998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06191">
    <w:abstractNumId w:val="90306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317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