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ZSEDER</w:t>
            </w:r>
          </w:p>
          <w:p w:rsidR="00C275A3" w:rsidRDefault="00A96AEC" w:rsidP="00C275A3">
            <w:pPr>
              <w:pStyle w:val="Hallgatokepzes"/>
            </w:pPr>
            <w:r>
              <w:t>Department of Hungarian Literature and Grammar</w:t>
            </w:r>
            <w:r>
              <w:br/>
            </w:r>
            <w:r w:rsidR="00E77B23">
              <w:t>BA, 6.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Seress PhD</w:t>
            </w:r>
          </w:p>
          <w:p w:rsidR="00DB4822" w:rsidRDefault="00DB4822" w:rsidP="00E11062">
            <w:pPr>
              <w:pStyle w:val="Konzulensek"/>
            </w:pPr>
            <w:r w:rsidRPr="00DB4822">
              <w:t>Assistant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power of the gaze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Gérard Genette metalepsis has two meanings: in the first one, the author pretends to be the individual, who is responsible for creating the narrated event. We can understand this phenomena by imagining an author, who makes a declaration: “in the next chapter it is I, who kills the character”. S/he suggest here to be the creator of the event, thus the character is not killed by another character, but by the author him/herself.</w:t>
      </w:r>
      <w:r>
        <w:rPr>
          <w:color w:val="000000"/>
          <w:sz w:val="24"/>
          <w:szCs w:val="24"/>
        </w:rPr>
        <w:br/>
        <w:t xml:space="preserve">In the second one, the author pretends to give orders to the character. It can be clearly seen, that both acts are a result of a transgression, when the originally outsider narrator becomes one of the characters of the diegetic story. One of the advantages of this transgression is, that the receiver might feel that the events are happening right before his/her eyes, but also we can point out an obvious disadvantage here: it is the anxiety that the fiction can brake in to the “real”: the instability of the narrator’s position inevitably leads to condition, where the receivers security evaporates.</w:t>
      </w:r>
      <w:r>
        <w:rPr>
          <w:color w:val="000000"/>
          <w:sz w:val="24"/>
          <w:szCs w:val="24"/>
        </w:rPr>
        <w:br/>
        <w:t xml:space="preserve">In my paper I am going to analyze the acts of transgression in Cortazar’s short story, and in Michelangelo Antonioni’s film, the Blowup. My purpose is to show how does the film reconstruct experience coming from the reading of the text. I would like to argue, that Antonioni’s film is not a simple “transferring” of the written story in to another medium, but serves as a visual ekphrasis to the central theme of Cortazar’s work: the problem of seeing.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65202">
    <w:multiLevelType w:val="hybridMultilevel"/>
    <w:lvl w:ilvl="0" w:tplc="26993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65202">
    <w:abstractNumId w:val="71865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130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