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MARIA LIMA VICTOR</w:t>
            </w:r>
          </w:p>
          <w:p w:rsidR="00C275A3" w:rsidRDefault="00A96AEC" w:rsidP="00C275A3">
            <w:pPr>
              <w:pStyle w:val="Hallgatokepzes"/>
            </w:pPr>
            <w:r>
              <w:t>Intermédia</w:t>
            </w:r>
            <w:r>
              <w:br/>
            </w:r>
            <w:r w:rsidR="00E77B23">
              <w:t>MA, 5. félév</w:t>
            </w:r>
          </w:p>
          <w:p w:rsidR="00C265CE" w:rsidRPr="009E5FF1" w:rsidRDefault="00E77B23" w:rsidP="00C275A3">
            <w:pPr>
              <w:pStyle w:val="Hallgatokepzes"/>
              <w:rPr>
                <w:b/>
                <w:caps/>
              </w:rPr>
            </w:pPr>
            <w:r>
              <w:t>Magyar Képzőművészeti Egyetem</w:t>
            </w:r>
            <w:r w:rsidR="00C275A3">
              <w:br/>
            </w:r>
            <w:r w:rsidR="00DB4822">
              <w:t/>
            </w:r>
          </w:p>
        </w:tc>
        <w:tc>
          <w:tcPr>
            <w:tcW w:w="4914" w:type="dxa"/>
          </w:tcPr>
          <w:p w:rsidR="00DB4822" w:rsidRPr="00DB4822" w:rsidRDefault="00DB4822" w:rsidP="004D7940">
            <w:pPr>
              <w:pStyle w:val="Hallgatonev"/>
              <w:rPr>
                <w:caps/>
              </w:rPr>
            </w:pPr>
            <w:r w:rsidRPr="00DB4822">
              <w:rPr>
                <w:caps/>
              </w:rPr>
              <w:t>SÓS JÓZSEF</w:t>
            </w:r>
          </w:p>
          <w:p w:rsidR="00DB4822" w:rsidRDefault="00C275A3" w:rsidP="004D7940">
            <w:pPr>
              <w:pStyle w:val="Hallgatokepzes"/>
            </w:pPr>
            <w:r>
              <w:t>Intermédia</w:t>
            </w:r>
            <w:r w:rsidR="00A96AEC">
              <w:br/>
              <w:t>MA, 4. félév</w:t>
            </w:r>
          </w:p>
          <w:p w:rsidR="00DB4822" w:rsidRDefault="00DB4822" w:rsidP="004D7940">
            <w:pPr>
              <w:pStyle w:val="Hallgatointezmeny-kar"/>
            </w:pPr>
            <w:r>
              <w:t>Magyar Képzőművészeti Egyetem</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Allan Siegel</w:t>
            </w:r>
          </w:p>
          <w:p w:rsidR="00DB4822" w:rsidRDefault="00DB4822" w:rsidP="00E11062">
            <w:pPr>
              <w:pStyle w:val="Konzulensek"/>
            </w:pPr>
            <w:r w:rsidRPr="00DB4822">
              <w:t>egyetemi oktató,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Horkolás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Horkolás</w:t>
      </w:r>
    </w:p>
    <w:p>
      <w:pPr>
        <w:pBdr/>
        <w:spacing w:before="240" w:after="240" w:line="240" w:lineRule="auto"/>
        <w:ind w:left="0" w:right="0"/>
        <w:jc w:val="left"/>
      </w:pPr>
      <w:r>
        <w:rPr>
          <w:color w:val="000000"/>
          <w:sz w:val="24"/>
          <w:szCs w:val="24"/>
        </w:rPr>
        <w:t xml:space="preserve">Sós József és Maria Lima Victor</w:t>
      </w:r>
    </w:p>
    <w:p>
      <w:pPr>
        <w:pBdr/>
        <w:spacing w:before="240" w:after="240" w:line="240" w:lineRule="auto"/>
        <w:ind w:left="0" w:right="0"/>
        <w:jc w:val="left"/>
      </w:pPr>
      <w:r>
        <w:rPr>
          <w:color w:val="000000"/>
          <w:sz w:val="24"/>
          <w:szCs w:val="24"/>
        </w:rPr>
        <w:t xml:space="preserve">Magyar Képzőművészeti Egyetem – Intermédia</w:t>
      </w:r>
      <w:r>
        <w:rPr>
          <w:color w:val="000000"/>
          <w:sz w:val="24"/>
          <w:szCs w:val="24"/>
        </w:rPr>
        <w:br/>
        <w:t xml:space="preserve">Intermédia 2. és 3. évfolyam</w:t>
      </w:r>
    </w:p>
    <w:p>
      <w:pPr>
        <w:pBdr/>
        <w:spacing w:before="240" w:after="240" w:line="240" w:lineRule="auto"/>
        <w:ind w:left="0" w:right="0"/>
        <w:jc w:val="left"/>
      </w:pPr>
      <w:r>
        <w:rPr>
          <w:color w:val="000000"/>
          <w:sz w:val="24"/>
          <w:szCs w:val="24"/>
        </w:rPr>
        <w:t xml:space="preserve">Témavezető: Allan Siegel, egyetemi oktató – Intermédia</w:t>
      </w:r>
    </w:p>
    <w:p>
      <w:pPr>
        <w:pBdr/>
        <w:spacing w:before="240" w:after="240" w:line="240" w:lineRule="auto"/>
        <w:ind w:left="0" w:right="0"/>
        <w:jc w:val="left"/>
      </w:pPr>
      <w:r>
        <w:rPr>
          <w:color w:val="000000"/>
          <w:sz w:val="24"/>
          <w:szCs w:val="24"/>
        </w:rPr>
        <w:t xml:space="preserve">Felmerült számunkra az az igény, hogy a társadalom mindennapi díszleteiből kilépjünk, és olyan színházi díszletet keressünk magunknak, amely egyfajta médiaanalízist, és médium átlépést jelent a taposómalom mindennapjai helyett, ám az urbánus környezet részeként.</w:t>
      </w:r>
    </w:p>
    <w:p>
      <w:pPr>
        <w:pBdr/>
        <w:spacing w:before="240" w:after="240" w:line="240" w:lineRule="auto"/>
        <w:ind w:left="0" w:right="0"/>
        <w:jc w:val="left"/>
      </w:pPr>
      <w:r>
        <w:rPr>
          <w:color w:val="000000"/>
          <w:sz w:val="24"/>
          <w:szCs w:val="24"/>
        </w:rPr>
        <w:t xml:space="preserve">Régóta figyelemmel néztük az aluljáró padlóján ücsörgő hajléktalant, akinek békaperspektívája egy periférikus perspektíva. Célok, és kötelességek nélkül. Mi pont ennek megélését éreztük kötelességnek. Egyfajta média használatra törekedtünk, színházi, zenei és happening-akció keverékére, amely egy éber meditációt segített elő, a szünet, a pihenőidő aktív megélését.</w:t>
      </w:r>
    </w:p>
    <w:p>
      <w:pPr>
        <w:pBdr/>
        <w:spacing w:before="240" w:after="240" w:line="240" w:lineRule="auto"/>
        <w:ind w:left="0" w:right="0"/>
        <w:jc w:val="left"/>
      </w:pPr>
      <w:r>
        <w:rPr>
          <w:color w:val="000000"/>
          <w:sz w:val="24"/>
          <w:szCs w:val="24"/>
        </w:rPr>
        <w:t xml:space="preserve">2010-ben kezdtek a Fővárosban a politikai célzatok egy köztéri élet ellenében fellépő irányt venni. Illetve amennyiben nem is ez ellen irányultak, mindenesetre elkezdték tiltani a köztéren alvást. Mi ennek hatására egy speciális zenei felvételt készítettünk, ami egy horkolás hangmintájának kísérleti feldolgozása, egy meditációs torokénekléshez hasonló zene, és hangfalakból ezt hallgatva a budapesti Lehel téri aluljáró padlóján ültünk 2011-ben és 2012-ben. Kipróbáltuk a periférikus látásmódot, és a hajléktalanság politikumáról, az élet dolgairól beszélgettünk. 2012 augusztus 28-án Pólya Zsombor videót készített a performance-ról és fényképeket.</w:t>
      </w:r>
    </w:p>
    <w:p>
      <w:pPr>
        <w:pBdr/>
        <w:spacing w:before="240" w:after="240" w:line="240" w:lineRule="auto"/>
        <w:ind w:left="0" w:right="0"/>
        <w:jc w:val="left"/>
      </w:pPr>
      <w:r>
        <w:rPr>
          <w:color w:val="000000"/>
          <w:sz w:val="24"/>
          <w:szCs w:val="24"/>
        </w:rPr>
        <w:t xml:space="preserve">A kiindulási gondolatkör Kazimir Malevics „Menj és állítsd meg a haladást!” jelszava, amellyel a haladás eszmény illúziója ellen fogaltunk állást, valamint Jean-Jacques Rousseau és Csokonai, amely a civilizáció dezillúziója, voltak.</w:t>
      </w:r>
    </w:p>
    <w:p>
      <w:pPr>
        <w:pBdr/>
        <w:spacing w:before="240" w:after="240" w:line="240" w:lineRule="auto"/>
        <w:ind w:left="0" w:right="0"/>
        <w:jc w:val="left"/>
      </w:pPr>
      <w:r>
        <w:rPr>
          <w:color w:val="000000"/>
          <w:sz w:val="24"/>
          <w:szCs w:val="24"/>
        </w:rPr>
        <w:t xml:space="preserve">Folyamatosan bővülnek a szempontjaink, és akció-sorozatot tervezünk, amely túlmutat a politikai művészeten, és egy kortárs meditációs forma, a periféria, a szociális periféria szerepének felvételével járó, annak helyszíneit elfoglaló attitűddel rendelkezik.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727475">
    <w:multiLevelType w:val="hybridMultilevel"/>
    <w:lvl w:ilvl="0" w:tplc="478175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727475">
    <w:abstractNumId w:val="897274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09348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