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DUKAI</w:t>
            </w:r>
          </w:p>
          <w:p w:rsidR="00C275A3" w:rsidRDefault="00A96AEC" w:rsidP="00C275A3">
            <w:pPr>
              <w:pStyle w:val="Hallgatokepzes"/>
            </w:pPr>
            <w:r>
              <w:t>graphic designer</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 Elizabeth of Hungary: the loving wife and the holy woman on the high altar at the Cathedral of Kassa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order for us to comprehend the significance of the main altar of Kassa’s Cathedral, we must recognize the role of patron saints amongst catholic saints. A Hungarian princess, Saint Elizabeth of the Árpád dynasty, was born in the early 13th century known as Elizabeth of Hungary. This paper includes a brief description of her biography according to sources from that period, along with the numerous miracles tied to her, which had an astounding effect on Europe’s history of art and iconography. She was really popular, and even more so in the following decades after her death. This is reflected by the fact that merely 4 years after her decease she had been canonized. Not five months after she passed the crowds of people visiting her grave had been claiming occurrences of miraculous healing. Elizabeth’s cult of personality like a tempest, swept through medieval Europe (later reaching the rest of the world). As evidence the Cathedral of Kassa is a worthy expression of the people’s passion and adoration of her. </w:t>
      </w:r>
    </w:p>
    <w:p>
      <w:pPr>
        <w:pBdr/>
        <w:spacing w:before="240" w:after="240" w:line="240" w:lineRule="auto"/>
        <w:ind w:left="0" w:right="0"/>
        <w:jc w:val="left"/>
      </w:pPr>
      <w:r>
        <w:rPr>
          <w:color w:val="000000"/>
          <w:sz w:val="24"/>
          <w:szCs w:val="24"/>
        </w:rPr>
        <w:t xml:space="preserve">This essay also summarizes the history of the cathedral. Elizabeth’s nephew, known as Stephen V of Hungary and reigning king, placed down its first stone. It was built, from 1378 to 1490 in the location of the old parish lost in the conflagration. This was a unique memorial to the beloved saint who is respected worldwide and not merely known for the miracles she performed. (like the roses in her basket or the transformation of the leper in her bed into a Savior and roses, the blue star dress offered to her by angels or her heavenly vision during mass) Elizabeth is respected for her great deeds that also consumed her fragile life. Kassa’s main cathedral has an unparalleled and exclusive triptych that stands 12 meters tall. Its designer is unknown, although many believe it to be the creation of István Steymetz the lead architect of the church. This unique winged altar was constructed between 1474 and 1477. Commonly, the works depicting Elizabeth’s life are tied to various craftsmen, mostly to Friedrich Herlin’s circle, since once again we lack a wealth of knowledge about the creator. Two separate, although relevant roles as a charitable Franciscan tertiary nun and a countess famous of her many miracles, are balanced with full harmony in the paintings illustrating miracles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14695">
    <w:multiLevelType w:val="hybridMultilevel"/>
    <w:lvl w:ilvl="0" w:tplc="13208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14695">
    <w:abstractNumId w:val="15814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542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