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HUTÓCZKI VIVIEN</w:t>
            </w:r>
          </w:p>
          <w:p w:rsidR="00C275A3" w:rsidRDefault="00A96AEC" w:rsidP="00C275A3">
            <w:pPr>
              <w:pStyle w:val="Hallgatokepzes"/>
            </w:pPr>
            <w:r>
              <w:t>Restaurátorművész</w:t>
            </w:r>
            <w:r>
              <w:br/>
            </w:r>
            <w:r w:rsidR="00E77B23">
              <w:t>MA, 5.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Fehér Ildikó PhD</w:t>
            </w:r>
          </w:p>
          <w:p w:rsidR="00DB4822" w:rsidRDefault="00DB4822" w:rsidP="00E11062">
            <w:pPr>
              <w:pStyle w:val="Konzulensek"/>
            </w:pPr>
            <w:r w:rsidRPr="00DB4822">
              <w:t>egyetemi adjunktus,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hely, ahonnan új dimenziók nyílnak, ahonnan másképpen látható a világ …” Az anamorfózisok típusai, alkalmazása a reneszánsz kortól máig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anamorfózis művészeti ábrázolásmódjának jelentését, kialakulását, típusait és alkalmazási módjait mutatom be és vezetem végig példák felvetésével, egészen a kortárs művészeti ágakban való megjelenéséig.</w:t>
      </w:r>
      <w:r>
        <w:rPr>
          <w:color w:val="000000"/>
          <w:sz w:val="24"/>
          <w:szCs w:val="24"/>
        </w:rPr>
        <w:br/>
        <w:t xml:space="preserve">Kezdésként a terminus technikus jelentését vizsgálom, majd bemutatom a három típusát: a perspektivikus, a katoptrikus és a dioptrikus anamorfózisokat, azok lényegét, alkalmazási módjait és területeit.</w:t>
      </w:r>
      <w:r>
        <w:rPr>
          <w:color w:val="000000"/>
          <w:sz w:val="24"/>
          <w:szCs w:val="24"/>
        </w:rPr>
        <w:br/>
        <w:t xml:space="preserve">Ezt követően egy történeti áttekintés során, dolgozatomat öt részre tagolva kifejtem az ábrázolásmód alakulását az egyes művészettörténeti korokban, említést téve az optikai csalódások alkalmazásának legkimagaslóbb mestereiről, s szemet kápráztató munkáikról, melyek a nézőt az illúzió világába vezetik.</w:t>
      </w:r>
      <w:r>
        <w:rPr>
          <w:color w:val="000000"/>
          <w:sz w:val="24"/>
          <w:szCs w:val="24"/>
        </w:rPr>
        <w:br/>
        <w:t xml:space="preserve">Az anamorfózis kialakulása a reneszánsz korra tehető. Leonardo da Vinci Codex Atlanticus c. vázlatkönyvében fennmaradt rajzának bemutatásával kezdem a történeti áttekintést, melyet a műfaj első ismert példájaként tartunk számon. Figyelemfelkeltő, különleges optikai torzítást figyelhetünk meg Piero della Francesca legutolsó ismert festményén is, mellyel szintén részletesebben foglalkozom a dolgozatomban. Kifejtem, milyen érdekességeket rejt témám szempontjából ifj. Hans Holbein 1533-ban készített, a festészet talán leghíresebb anamorfózist használó festménye.</w:t>
      </w:r>
      <w:r>
        <w:rPr>
          <w:color w:val="000000"/>
          <w:sz w:val="24"/>
          <w:szCs w:val="24"/>
        </w:rPr>
        <w:br/>
        <w:t xml:space="preserve">A következő részben összefoglalom, miként terjesztették el a Hans Holbein-követők a „ferdén nézendő kép” módszerét a XVI. században Anglia és Európa-szerte, majd szemügyre veszem a kor más művészeti ágait is.</w:t>
      </w:r>
      <w:r>
        <w:rPr>
          <w:color w:val="000000"/>
          <w:sz w:val="24"/>
          <w:szCs w:val="24"/>
        </w:rPr>
        <w:br/>
        <w:t xml:space="preserve">Ezt követően az anamorfózis fénykorának legkiemelkedőbb alkotóit és munkásságukat mutatom be: Erhard Schönt, Jean François Nicéront, Emmanuel Maignant, Samuel van Hoogstratent, és említést teszek az ábrázolásmód Kínához kapcsolható példáiról.</w:t>
      </w:r>
      <w:r>
        <w:rPr>
          <w:color w:val="000000"/>
          <w:sz w:val="24"/>
          <w:szCs w:val="24"/>
        </w:rPr>
        <w:br/>
        <w:t xml:space="preserve">A következő pontban megismerkedhetünk az anortoszkóp szerkezetével és hogy hogyan alakult az ábrázolásmód a XVIII-XIX. században.</w:t>
      </w:r>
      <w:r>
        <w:rPr>
          <w:color w:val="000000"/>
          <w:sz w:val="24"/>
          <w:szCs w:val="24"/>
        </w:rPr>
        <w:br/>
        <w:t xml:space="preserve">Dolgozatom utolsó nagy egységeként kortárs művészeti példákat mutatok be az anamorfózis használatáról, elsősorban Marcel Duchamp, ifj. Adalbert Ames, magyar vonatkozásban pedig Csontváry Kosztka Tivadar és Orosz István munkásságában. Végül kifejtem, hogyan nyerhet új értelmezést az ábrázolásmód, ha megváltoztatjuk a léptékét és hordozóanyagát.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50562">
    <w:multiLevelType w:val="hybridMultilevel"/>
    <w:lvl w:ilvl="0" w:tplc="84031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50562">
    <w:abstractNumId w:val="522505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3278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