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NOÉMI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Belovári Anita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"Uránia" népművelő tevékenysége Kaposváron 1911-1922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„Uránia” népművelő tevékenysége Kaposváron</w:t>
      </w:r>
      <w:r>
        <w:rPr>
          <w:color w:val="000000"/>
          <w:sz w:val="24"/>
          <w:szCs w:val="24"/>
        </w:rPr>
        <w:br/>
        <w:t xml:space="preserve">1911 és 1922 között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19-20. sz. fordulójának – amely időszak kiemelkedően fontos a népművelés kutatásának szempontjából -, különleges, emblematikus intézménye az Uránia népművelő részvénytársaság. Kivételes voltát igazolják az általa, az országban egyedi módon, alkalmazott eszközök: a legmodernebb technika vívmányai, a diavetítések, idővel a mozgóképvetítések. Hasonlóképpen unikális sajátossága a profitorientáltság.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Uránia működése országos szinten sem feltárt, vidéki tevékenységük pedig még inkább homályba vész. Fő hipotézisem szerint – ahogy a szervezet azt egyébként célul is tűzte ki – a működést vidéken is sikerült a fővárosban kialakított szinten megszervezni. Vizsgálatom a kaposvári Uránia tevékenységét tárja fel, a műsorstruktúrára, a látogatók összetételére, a sajtóvisszhangokra koncentrálva. A kaposvári Uránia mozgóképszínház sajátságos helyzetét alátámasztja Kaposvár kiemelt szerepe a magyar mozi 20. század eleji történetében. Ezekben az években, ebben a kisvárosban volt a legmagasabb az egy főre jutó mozi férőhelyek száma. Ez a tény pozitív és negatív módon egyaránt befolyásolta az Uránia mindennapjait. A bő egy évtizedes fénykor bemutatása után kitérek a megszűnés körülményeire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nagy segítségemre voltak az Uránia működésére vonatkozó dokumentumok, pl. alapszabályok, programalkotó beszédek, az elnökségi tagok sajtómegnyilvánulásai. A kaposvári működést a sajtón keresztül vizsgáltam. Sajnos levéltári anyagok nem álltak rendelkezésemre. Hasznos segítséget nyújtottak természetesen az Uránia tevékenységére vonatkozó tanulmányok, cikkek.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vélem a téma aktuális ma is, hiszen a népművelés speciális útjait ma is keressük, a programok vonzóerejének növelése ma is fontos célkitűzése ennek a kulturális területnek.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142048">
    <w:multiLevelType w:val="hybridMultilevel"/>
    <w:lvl w:ilvl="0" w:tplc="841669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142048">
    <w:abstractNumId w:val="88142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5127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