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KOZÁR SZABOLCS</w:t>
            </w:r>
          </w:p>
          <w:p w:rsidR="00C275A3" w:rsidRDefault="00A96AEC" w:rsidP="00C275A3">
            <w:pPr>
              <w:pStyle w:val="Hallgatokepzes"/>
            </w:pPr>
            <w:r>
              <w:t>Környezetgazdálkodási Agrármérnök</w:t>
            </w:r>
            <w:r>
              <w:br/>
            </w:r>
            <w:r w:rsidR="00E77B23">
              <w:t>BSc, 7. félév</w:t>
            </w:r>
          </w:p>
          <w:p w:rsidR="00C265CE" w:rsidRPr="009E5FF1" w:rsidRDefault="00E77B23" w:rsidP="00C275A3">
            <w:pPr>
              <w:pStyle w:val="Hallgatokepzes"/>
              <w:rPr>
                <w:b/>
                <w:caps/>
              </w:rPr>
            </w:pPr>
            <w:r>
              <w:t>Szent István Egyetem</w:t>
            </w:r>
            <w:r w:rsidR="00C275A3">
              <w:br/>
            </w:r>
            <w:r w:rsidR="00DB4822">
              <w:t>Mezőgazdaság- és Környezettudományi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Szabó István</w:t>
            </w:r>
          </w:p>
          <w:p w:rsidR="00DB4822" w:rsidRDefault="00DB4822" w:rsidP="00E11062">
            <w:pPr>
              <w:pStyle w:val="Konzulensek"/>
            </w:pPr>
            <w:r w:rsidRPr="00DB4822">
              <w:t>egyetemi tanársegéd,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Szennyezett területekről származó mikroszervezetek PAH bontó képességének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poliaromás szénhidrogének, mint szennyezőanyagok, kőolajokban, kőolajszármazékokban, illetve termékeiben előforduló, valamint szerves anyagok tökéletlen égése során keletkező vegyületek, amelyek nehezen lebonthatóak és perzisztensek. Környezetvédelmi jelentőségüket növeli, hogy humán egészségügyi hatásaikat tekintve eddig hét PAH vegyületről bizonyosodott be humán karcinogén hatás, továbbá egyeseknek mutagén, teratogén, valamint hormonháztartást zavaró (EDC) hatásaik is ismertek. Munkám célja olyan mikroszervezetek keresése volt, melyek okszerűen alkalmazhatóak PAH vegyületek biológiai lebontására.</w:t>
      </w:r>
    </w:p>
    <w:p>
      <w:pPr>
        <w:pBdr/>
        <w:spacing w:before="240" w:after="240" w:line="240" w:lineRule="auto"/>
        <w:ind w:left="0" w:right="0"/>
        <w:jc w:val="left"/>
      </w:pPr>
      <w:r>
        <w:rPr>
          <w:color w:val="000000"/>
          <w:sz w:val="24"/>
          <w:szCs w:val="24"/>
        </w:rPr>
        <w:t xml:space="preserve">Ennek érdekében a Környezetvédelmi és Környezetbiztonsági Tanszék törzsgyűjteményének felhasználásával olyan mikroba törzseket választottam ki, amelyeket korábban kőolajszármazékokkal (TPH, BTEX, PAH) szennyezett területekről (talaj-, talajvízmintákból) izoláltak. A kiválasztott mikroszervezeteket bontási kísérleteknek vetettük alá, amelyek során degradációs képességüket vizsgáltuk három munkafázisban. Az első lépésben kínai kutatók módszerét (B. Zhao et al., 2009) használtuk három PAH vegyület [benza(a)pirén, benz(a)antracén, fluorantén] esetében, hogy kiválasszuk a potenciálisan bontásra képes törzseket. A második szakaszban folyékony táptalajban rázatott mikroba tenyészetet alkalmaztunk annak érdekében, hogy a törzsek PAH degradációs képességét elemezzük in vitro, folyékony közegben. Ehhez törzspárokat állítottunk össze, amelyekkel a kísérletet megelőzően együttszaporítási vizsgálatokat végeztünk, mivel az irodalmi adatok azt bizonyítják, hogy egy törzskeverékek általában nagyobb bontási képességgel rendelkeznek PAH vegyületek esetében. A harmadik munkaszakaszban OxiTop talajrespirációs vizsgálatot végeztünk két ismétlésben PAH, és TPH szennyezett kárhelyről származó talajmintán. A kísérletben egy kezelés nélküli kontrollt, egy együtt szaporodásra képes törzspárosítást, valamint egy desztillált vizes kezelést alkalmaztunk. Eredményeim megalapozzák egy olyan oltóanyag kialakítását, amely PAH vegyületekkel szennyezett kárhelyeken in vivo tesztelhető.</w:t>
      </w:r>
      <w:r>
        <w:rPr>
          <w:color w:val="000000"/>
          <w:sz w:val="24"/>
          <w:szCs w:val="24"/>
        </w:rPr>
        <w:br/>
        <w:t xml:space="preserve">A kutatási munka a (TÁMOP-4.2.1B-11/2/KMR-2011-0003), valamint a (GOP 1.1.1-09/1-2010-0224) pályázatok támogatásával valósult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50793">
    <w:multiLevelType w:val="hybridMultilevel"/>
    <w:lvl w:ilvl="0" w:tplc="763385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50793">
    <w:abstractNumId w:val="304507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2198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