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DENES BERTA</w:t>
            </w:r>
          </w:p>
          <w:p w:rsidR="00C275A3" w:rsidRDefault="00A96AEC" w:rsidP="00C275A3">
            <w:pPr>
              <w:pStyle w:val="Hallgatokepzes"/>
            </w:pPr>
            <w:r>
              <w:t>Chemist</w:t>
            </w:r>
            <w:r>
              <w:br/>
            </w:r>
            <w:r w:rsidR="00E77B23">
              <w:t>BSc,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ÁDÁM KOVÁCS</w:t>
            </w:r>
          </w:p>
          <w:p w:rsidR="00DB4822" w:rsidRDefault="00C275A3" w:rsidP="004D7940">
            <w:pPr>
              <w:pStyle w:val="Hallgatokepzes"/>
            </w:pPr>
            <w:r>
              <w:t>chemist</w:t>
            </w:r>
            <w:r w:rsidR="00A96AEC">
              <w:br/>
              <w:t>BSc,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Adam Madarasz</w:t>
            </w:r>
          </w:p>
          <w:p w:rsidR="00DB4822" w:rsidRDefault="00DB4822" w:rsidP="00E11062">
            <w:pPr>
              <w:pStyle w:val="Konzulensek"/>
            </w:pPr>
            <w:r w:rsidRPr="00DB4822">
              <w:t>research fellow,  Hungarian Academy of Sciences, Chemical Research Center, Department of Theoretical Chemistry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mechanism of organocatalytic reaction via theoretical chemical approach</w:t>
      </w:r>
      <w:r>
        <w:t xml:space="preserve"/>
      </w:r>
    </w:p>
    <w:p w:rsidR="00D71DF5" w:rsidRDefault="00D71DF5" w:rsidP="00AD2602">
      <w:pPr>
        <w:jc w:val="both"/>
      </w:pPr>
    </w:p>
    <w:p>
      <w:pPr>
        <w:pBdr/>
        <w:spacing w:before="240" w:after="240" w:line="240" w:lineRule="auto"/>
        <w:ind w:left="450" w:right="0"/>
        <w:jc w:val="left"/>
      </w:pPr>
      <w:r>
        <w:rPr>
          <w:b/>
          <w:color w:val="000000"/>
          <w:sz w:val="24"/>
          <w:szCs w:val="24"/>
          <w:u w:val="single"/>
        </w:rPr>
        <w:t xml:space="preserve">Research of mechanism of organocatalytic reaction via theoretical chemical methods</w:t>
      </w:r>
    </w:p>
    <w:p>
      <w:pPr>
        <w:pBdr/>
        <w:spacing w:before="240" w:after="240" w:line="240" w:lineRule="auto"/>
        <w:ind w:left="450" w:right="0"/>
        <w:jc w:val="left"/>
      </w:pPr>
      <w:r>
        <w:rPr>
          <w:color w:val="000000"/>
          <w:sz w:val="24"/>
          <w:szCs w:val="24"/>
        </w:rPr>
        <w:t xml:space="preserve">The reaction we deal with was investigated by two researchers, Keisuke Asano and Seijiro Matsubara, in 2011. Organocatalyst they utilized was invented by a Hungarian group headed by Tibor Soós. Its structure is based on natural quinine alkaloids, however, the most active part of the catalyst is a tiourea group connected to the quinine through a chiral carbon atom. The examined reaction was an asymmetric cycloetherification of a α,β-unsaturated-ketone resulting 2-chiral-substituted tetrahydrofuran (THF) group.</w:t>
      </w:r>
    </w:p>
    <w:p>
      <w:pPr>
        <w:pBdr/>
        <w:spacing w:before="240" w:after="240" w:line="240" w:lineRule="auto"/>
        <w:ind w:left="450" w:right="0"/>
        <w:jc w:val="left"/>
      </w:pPr>
      <w:r>
        <w:rPr>
          <w:color w:val="000000"/>
          <w:position w:val="-3"/>
          <w:sz w:val="24"/>
          <w:szCs w:val="24"/>
        </w:rPr>
        <w:drawing>
          <wp:inline distT="0" distB="0" distL="0" distR="0">
            <wp:extent cx="3600000" cy="1396800"/>
            <wp:docPr id="95411067" name="name150c4cc010ee87" descr="imgtmp_19970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9970_int_1.png"/>
                    <pic:cNvPicPr/>
                  </pic:nvPicPr>
                  <pic:blipFill>
                    <a:blip r:embed="rId150c4cc010ee49" cstate="print"/>
                    <a:stretch>
                      <a:fillRect/>
                    </a:stretch>
                  </pic:blipFill>
                  <pic:spPr>
                    <a:xfrm>
                      <a:off x="0" y="0"/>
                      <a:ext cx="3600000" cy="1396800"/>
                    </a:xfrm>
                    <a:prstGeom prst="rect">
                      <a:avLst/>
                    </a:prstGeom>
                    <a:ln w="0">
                      <a:noFill/>
                    </a:ln>
                  </pic:spPr>
                </pic:pic>
              </a:graphicData>
            </a:graphic>
          </wp:inline>
        </w:drawing>
      </w:r>
    </w:p>
    <w:p>
      <w:pPr>
        <w:pBdr/>
        <w:spacing w:before="240" w:after="240" w:line="240" w:lineRule="auto"/>
        <w:ind w:left="450" w:right="0"/>
        <w:jc w:val="left"/>
      </w:pPr>
      <w:r>
        <w:rPr>
          <w:color w:val="000000"/>
          <w:sz w:val="24"/>
          <w:szCs w:val="24"/>
        </w:rPr>
        <w:t xml:space="preserve">The main purpose of our study was to explain the mechanism of this reaction, and show geometric reasons for the enantiomer-excess (ee). The possible conformations were searched by OPLS 2005 force field model, which is based on classical mechanics. The quantum mechanical calculations were carried using density functional theory. B97XD functional ¬ with the 6 31G* basis set  – was used for the geometric optimization and M06-2X was used – with the 6 311++G** – for the single point calculations.</w:t>
      </w:r>
    </w:p>
    <w:p>
      <w:pPr>
        <w:pBdr/>
        <w:spacing w:before="240" w:after="240" w:line="240" w:lineRule="auto"/>
        <w:ind w:left="450" w:right="0"/>
        <w:jc w:val="left"/>
      </w:pPr>
      <w:r>
        <w:rPr>
          <w:color w:val="000000"/>
          <w:sz w:val="24"/>
          <w:szCs w:val="24"/>
        </w:rPr>
        <w:br/>
        <w:t xml:space="preserve">According to our results, the reaction has two steps. Firstly, the THF ring formed while the base of the catalyst was receiving the proton from the alcohol. As a result, an enolate ion had been formed as an intermediate. Finally, this charge separation broke off. The transition states of the first step have higher Gibbs free energy values than the second ones, therefore the velocity and the enantiomer-excess of the reaction depends on the first step.</w:t>
      </w:r>
    </w:p>
    <w:p>
      <w:pPr>
        <w:pBdr/>
        <w:spacing w:before="240" w:after="240" w:line="240" w:lineRule="auto"/>
        <w:ind w:left="450" w:right="0"/>
        <w:jc w:val="left"/>
      </w:pPr>
      <w:r>
        <w:rPr>
          <w:color w:val="000000"/>
          <w:sz w:val="24"/>
          <w:szCs w:val="24"/>
        </w:rPr>
        <w:t xml:space="preserve">To sum up, our results are suggesting similar ratio of amounts of the two forming enantiomers that it has been determined previously. Examined structures of the first transition states have some geometric differences that have been noticed. The difference between the energy levels of these two transition states could be explained by the different hydrogen bond system and dispersion interactions between groups of the molecules.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70342">
    <w:multiLevelType w:val="hybridMultilevel"/>
    <w:lvl w:ilvl="0" w:tplc="17975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70342">
    <w:abstractNumId w:val="87870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661280" Type="http://schemas.openxmlformats.org/officeDocument/2006/relationships/numbering" Target="numbering.xml"/><Relationship Id="rId150c4cc010ee49" Type="http://schemas.openxmlformats.org/officeDocument/2006/relationships/image" Target="media/imgrId150c4cc010ee4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