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DUDAS</w:t>
            </w:r>
          </w:p>
          <w:p w:rsidR="00C275A3" w:rsidRDefault="00A96AEC" w:rsidP="00C275A3">
            <w:pPr>
              <w:pStyle w:val="Hallgatokepzes"/>
            </w:pPr>
            <w:r>
              <w:t>Chemist MSc</w:t>
            </w:r>
            <w:r>
              <w:br/>
            </w:r>
            <w:r w:rsidR="00E77B23">
              <w:t>MSc,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Andrea Bodor</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Characterization of disordered protein fragments using NMR spectroscopy: Secondary Chemical Shifts and translational diffusion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mitogen-activated protein kinase (MAPK) cascades are evolutionary conserved, intracellular signal transduction pathways that respond to various extracellular stimuli and control a large number of fundamental cellular processes including growth, cell division, stress response, and apoptosis. Instead of the earlier observed classical protein-protein associations between two structured domains, peptide-protein interactions dominate in this system. As the docking grooves of the members of the different MAPK families show significant similarity in sequence, the specific bindings observed in the signalling system should be attributed to the linear docking motifs of the substrates.</w:t>
      </w:r>
      <w:r>
        <w:rPr>
          <w:color w:val="000000"/>
          <w:sz w:val="24"/>
          <w:szCs w:val="24"/>
        </w:rPr>
        <w:br/>
        <w:t xml:space="preserve">In order to obtain structural information regarding the specific bindings in the MAPK system NMR experiments were performed on five protein fragments (linear docking motivs except for the NFAT transcription factor). Acquiring homo- and heteronuclear 2D spectra and doing full (1H, 13C, 15N) resonance assignment, Secondary Chemical Shift values were calculated and structural features were deducted from them. Based on SCS data α-helical propensity was found in three protein fragments (MK2, RSK1, RSK1_S/A) whilst two of the fragments were unstructured (MNK1, NFAT). Compared with the binding properties these results showed that specific binding may be attributed to the regions showing helical propensity, while the absence of these may be associated with promiscuous binding. Based on atomic level informations obtained with NMR experiments structure-function relationship could be established.</w:t>
      </w:r>
      <w:r>
        <w:rPr>
          <w:color w:val="000000"/>
          <w:sz w:val="24"/>
          <w:szCs w:val="24"/>
        </w:rPr>
        <w:br/>
        <w:t xml:space="preserve">NMR measurements were performed in aqueous and denaturing media, and the helical propensities were found to be conserved under denaturing conditions and complete structural disorder was not obtained. Based on diffusion experiments hydrodynamic radii of the five protein fragments and ordered mini-proteins were calculated and compared. The comparison led us to the conclusion the more the structure of the peptide ordered is, the smaller the hydronamic radius is.</w:t>
      </w:r>
      <w:r>
        <w:rPr>
          <w:color w:val="000000"/>
          <w:sz w:val="24"/>
          <w:szCs w:val="24"/>
        </w:rPr>
        <w:br/>
        <w:t xml:space="preserve">The structural propensities of the examined linear motifs presented in this study may contribute in understanding their binding specificity and thus, the build-up of routes for signal flow in the MAPK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27106">
    <w:multiLevelType w:val="hybridMultilevel"/>
    <w:lvl w:ilvl="0" w:tplc="25359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27106">
    <w:abstractNumId w:val="738271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0620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