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TAMAS FOLDES</w:t>
            </w:r>
          </w:p>
          <w:p w:rsidR="00C275A3" w:rsidRDefault="00A96AEC" w:rsidP="00C275A3">
            <w:pPr>
              <w:pStyle w:val="Hallgatokepzes"/>
            </w:pPr>
            <w:r>
              <w:t>Chemist</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Imre Papai</w:t>
            </w:r>
          </w:p>
          <w:p w:rsidR="00DB4822" w:rsidRDefault="00DB4822" w:rsidP="00E11062">
            <w:pPr>
              <w:pStyle w:val="Konzulensek"/>
            </w:pPr>
            <w:r w:rsidRPr="00DB4822">
              <w:t>head of department,  Hungarian Academy of Sciences
Research Centre for Natural Sciences
Institute of Organic Chemistry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Theoretical mechanistic study on prolinol-ether catalyzed reactions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asymmetric Michael addition of aldehydes to nitroalkenes are usually catalyzed effectively by simple prolinol derivatives, however, a-substituted aldehydes and nitroalkenes are challenging substrates due to reduced reaction rates [1]. In order to understand this behaviour, I attempted to model the reaction of the substituated aldehydes based on the new mechanism established by Pápai and coworkers [2] at the Hungarian Academy of Sciences - Research Centre for Natural Sciences. The performed DFT calculations have been focused on the reaction intermediates preceding the rate-determining step (protonation)of the catalytic cycle.</w:t>
      </w:r>
    </w:p>
    <w:p>
      <w:pPr>
        <w:pBdr/>
        <w:spacing w:before="240" w:after="240" w:line="240" w:lineRule="auto"/>
        <w:ind w:left="0" w:right="0"/>
        <w:jc w:val="left"/>
      </w:pPr>
      <w:r>
        <w:rPr>
          <w:color w:val="000000"/>
          <w:sz w:val="24"/>
          <w:szCs w:val="24"/>
        </w:rPr>
        <w:t xml:space="preserve">A detailed conformational analysis has been carried out for the enamine intermediate formed upon the activation of the aldehyde molecule, and the C-C bond formation step between the enamine and the nitroalkene has been explored. Intermediates formed in this process, namely the oxazin-oxide and cyclobutane species, have been identified and characterized computationally. Our results reveal that the relative stability of the cyclobutane is hardly altered by a-substitution on the aldehyde, however, the oxazine-oxide is significantly destabilized upon this substitution. The destabilization is due to unfavorable steric interactions developed between the substituent and the pyrrolidine ring of the catalyst. The predicted stability trends have been confirmed experimentally at the University of Jyvaskyla by in situ NMR measurements.</w:t>
      </w:r>
    </w:p>
    <w:p>
      <w:pPr>
        <w:pBdr/>
        <w:spacing w:before="240" w:after="240" w:line="240" w:lineRule="auto"/>
        <w:ind w:left="0" w:right="0"/>
        <w:jc w:val="left"/>
      </w:pPr>
      <w:r>
        <w:rPr>
          <w:color w:val="000000"/>
          <w:sz w:val="24"/>
          <w:szCs w:val="24"/>
        </w:rPr>
        <w:t xml:space="preserve">Our results provide new insights into the mechanism of reaction catalyzed by prolinol-ether type catalysts, which could aid future catalyst design and related synthetic developments.</w:t>
      </w:r>
    </w:p>
    <w:p>
      <w:pPr>
        <w:pBdr/>
        <w:spacing w:before="240" w:after="240" w:line="240" w:lineRule="auto"/>
        <w:ind w:left="0" w:right="0"/>
        <w:jc w:val="left"/>
      </w:pPr>
      <w:r>
        <w:rPr>
          <w:color w:val="000000"/>
          <w:sz w:val="24"/>
          <w:szCs w:val="24"/>
        </w:rPr>
        <w:t xml:space="preserve">[1] Blackmond, D. G., Burés, J., Armstrong, A. J. Am. Chem. Soc. 2011, 133, 8822-8825; Blackmond, D. G., Burés, J., Armstrong, A., J. Am. Chem. Soc. 2012, 134, 6741-6750.</w:t>
      </w:r>
    </w:p>
    <w:p>
      <w:pPr>
        <w:pBdr/>
        <w:spacing w:before="240" w:after="240" w:line="240" w:lineRule="auto"/>
        <w:ind w:left="0" w:right="0"/>
        <w:jc w:val="left"/>
      </w:pPr>
      <w:r>
        <w:rPr>
          <w:color w:val="000000"/>
          <w:sz w:val="24"/>
          <w:szCs w:val="24"/>
        </w:rPr>
        <w:t xml:space="preserve">[2] Sahoo, G., Rahaman, H., Madarász, Á., Pápai, I., Melarto, M., Valkonen, A., Pihko, P. M., Angew. Chem. Int. Ed., DOI: 10.1002/anie.201204833</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803044">
    <w:multiLevelType w:val="hybridMultilevel"/>
    <w:lvl w:ilvl="0" w:tplc="174223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803044">
    <w:abstractNumId w:val="208030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01116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